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**Table. HWISE item scores by neighborhood (n = 397)**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93"/>
        <w:gridCol w:w="1780"/>
        <w:gridCol w:w="1780"/>
        <w:gridCol w:w="1780"/>
        <w:gridCol w:w="1181"/>
        <w:gridCol w:w="1181"/>
      </w:tblGrid>
      <w:tr>
        <w:trPr>
          <w:trHeight w:val="61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Neighborhood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4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397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 Worried about water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 Water interrupted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3. Unable to wash 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 Changed plans due to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5. Unable to prepare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6. Unable to wash 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7. Unable to wash 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8. No drinking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9. Felt angry about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10. Went to sleep thirsty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11. Had no water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12. Felt shame about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worry subscale (items 1+9)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HWISE total score (0–36)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 (3.0, 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 (5.0, 13.0)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 (3.0, 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insecurity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Secure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 (1-11)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 (12-23)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Severe (24-36)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 for continuous; n (%) for categorical.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for item scores/totals; chi-square for categories.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FDR-adjusted p-value (Benjamini-Hochberg).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2026-03-18T15:39:45Z</dcterms:modified>
  <cp:category/>
</cp:coreProperties>
</file>