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**Table. HWISE item scores by season (n = 399)**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93"/>
        <w:gridCol w:w="1780"/>
        <w:gridCol w:w="1780"/>
        <w:gridCol w:w="1780"/>
        <w:gridCol w:w="1181"/>
        <w:gridCol w:w="1181"/>
      </w:tblGrid>
      <w:tr>
        <w:trPr>
          <w:trHeight w:val="578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Season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Rainy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 Worried about water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 Water interrupted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 Unable to wash 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 Changed plans due to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 Unable to prepare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6. Unable to wash hands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7. Unable to wash 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 No drinking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9. Felt angry about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10. Went to sleep thirsty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11. Had no water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12. Felt shame about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worry subscale (items 1+9)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HWISE total score (0–36)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 (3.0,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 (2.0, 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(5.0, 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insecurity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Secure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 (1-11)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(12-23)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(24-36)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 for continuous; n (%) for categorical.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rank-sum for item scores/totals; chi-square for categories.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FDR-adjusted p-value (Benjamini-Hochberg).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2026-03-18T15:39:47Z</dcterms:modified>
  <cp:category/>
</cp:coreProperties>
</file>