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Sample characteristics by season (n = 399)**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1"/>
        <w:gridCol w:w="1475"/>
        <w:gridCol w:w="1475"/>
        <w:gridCol w:w="1475"/>
        <w:gridCol w:w="1181"/>
      </w:tblGrid>
      <w:tr>
        <w:trPr>
          <w:trHeight w:val="578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Season of data collection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79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Rainy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Dry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(years)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 (7.4)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33.2 (7.1)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31.3 (7.6)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Years in neighborhood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 (11.4)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22.0 (11.5)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 (3.5)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 (1.7)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Parity (n children)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 (1.3)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SES (NSE-AMAI)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formal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primary (1–5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secondary (7–8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(41%)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high school (10–11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high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Incomplete university (13–15 yrs)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 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Postgraduate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Employment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268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 (69%)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Occasionally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61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Chronic disease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(17%)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(12%)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(21%)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Welch Two Sample t-test; Pearson's Chi-squared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2026-03-14T10:02:33Z</dcterms:modified>
  <cp:category/>
</cp:coreProperties>
</file>