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S1. Sample characteristics — full variable set (n = 399)**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01"/>
        <w:gridCol w:w="1475"/>
        <w:gridCol w:w="1475"/>
        <w:gridCol w:w="1475"/>
        <w:gridCol w:w="1181"/>
        <w:gridCol w:w="1633"/>
      </w:tblGrid>
      <w:tr>
        <w:trPr>
          <w:trHeight w:val="616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By season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 (7.4)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 (7.1)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(7.6)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22.4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SES (NSE-AMAI)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primary (1–5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secondary (7–8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high school (10–11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university (13–15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Postgraduate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Currently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Employment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Hormonal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Regular medication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16%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0.8%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0%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Welch Two Sample t-test; Pearson's Chi-squared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2026-03-14T10:02:34Z</dcterms:modified>
  <cp:category/>
</cp:coreProperties>
</file>