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2. HWISE, PSS and water supply characteristics by season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578" w:hRule="auto"/>
          <w:tblHeader/>
        </w:trPr>
        <w:tc>
          <w:tcPr>
            <w:gridSpan w:val="2"/>
            <w:tcBorders>
              <w:bottom w:val="none" w:sz="0" w:space="0" w:color="000000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 </w:t>
            </w:r>
          </w:p>
        </w:tc>
        <w:tc>
          <w:tcPr>
            <w:gridSpan w:val="2"/>
            <w:tcBorders>
              <w:bottom w:val="none" w:sz="0" w:space="0" w:color="000000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Season</w:t>
            </w:r>
          </w:p>
        </w:tc>
        <w:tc>
          <w:tcPr>
            <w:tcBorders>
              <w:bottom w:val="none" w:sz="0" w:space="0" w:color="000000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 </w:t>
            </w:r>
          </w:p>
        </w:tc>
      </w:tr>
      <w:tr>
        <w:trPr>
          <w:trHeight w:val="779" w:hRule="auto"/>
          <w:tblHeader/>
        </w:trPr>
        <w:tc>
          <w:tcPr>
            <w:tcBorders>
              <w:bottom w:val="single" w:sz="12" w:space="0" w:color="1A3A5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Characteristic</w:t>
            </w:r>
          </w:p>
        </w:tc>
        <w:tc>
          <w:tcPr>
            <w:tcBorders>
              <w:bottom w:val="single" w:sz="12" w:space="0" w:color="1A3A5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Overall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  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br/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N = 397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vertAlign w:val="superscript"/>
                <w:sz w:val="20"/>
                <w:szCs w:val="20"/>
                <w:color w:val="FFFFFF"/>
              </w:rPr>
              <w:t xml:space="preserve">1</w:t>
            </w:r>
          </w:p>
        </w:tc>
        <w:tc>
          <w:tcPr>
            <w:tcBorders>
              <w:bottom w:val="single" w:sz="12" w:space="0" w:color="1A3A5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Rainy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  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br/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N = 201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vertAlign w:val="superscript"/>
                <w:sz w:val="20"/>
                <w:szCs w:val="20"/>
                <w:color w:val="FFFFFF"/>
              </w:rPr>
              <w:t xml:space="preserve">1</w:t>
            </w:r>
          </w:p>
        </w:tc>
        <w:tc>
          <w:tcPr>
            <w:tcBorders>
              <w:bottom w:val="single" w:sz="12" w:space="0" w:color="1A3A5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Dry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  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br/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N = 196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vertAlign w:val="superscript"/>
                <w:sz w:val="20"/>
                <w:szCs w:val="20"/>
                <w:color w:val="FFFFFF"/>
              </w:rPr>
              <w:t xml:space="preserve">1</w:t>
            </w:r>
          </w:p>
        </w:tc>
        <w:tc>
          <w:tcPr>
            <w:tcBorders>
              <w:bottom w:val="single" w:sz="12" w:space="0" w:color="1A3A5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p-value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vertAlign w:val="superscript"/>
                <w:sz w:val="20"/>
                <w:szCs w:val="20"/>
                <w:color w:val="FFFFFF"/>
              </w:rPr>
              <w:t xml:space="preserve">2</w:t>
            </w:r>
          </w:p>
        </w:tc>
      </w:tr>
      <w:tr>
        <w:trPr>
          <w:trHeight w:val="618" w:hRule="auto"/>
        </w:trPr>
        <w:tc>
          <w:tcPr>
            <w:tcBorders>
              <w:bottom w:val="single" w:sz="4" w:space="0" w:color="BDC3C7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PSS-14 total score (0–56)</w:t>
            </w:r>
          </w:p>
        </w:tc>
        <w:tc>
          <w:tcPr>
            <w:tcBorders>
              <w:bottom w:val="single" w:sz="4" w:space="0" w:color="BDC3C7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27.2 (7.2)</w:t>
            </w:r>
          </w:p>
        </w:tc>
        <w:tc>
          <w:tcPr>
            <w:tcBorders>
              <w:bottom w:val="single" w:sz="4" w:space="0" w:color="BDC3C7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27.3 (6.9)</w:t>
            </w:r>
          </w:p>
        </w:tc>
        <w:tc>
          <w:tcPr>
            <w:tcBorders>
              <w:bottom w:val="single" w:sz="4" w:space="0" w:color="BDC3C7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27.2 (7.6)</w:t>
            </w:r>
          </w:p>
        </w:tc>
        <w:tc>
          <w:tcPr>
            <w:tcBorders>
              <w:bottom w:val="single" w:sz="4" w:space="0" w:color="BDC3C7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0.967</w:t>
            </w:r>
          </w:p>
        </w:tc>
      </w:tr>
      <w:tr>
        <w:trPr>
          <w:trHeight w:val="573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Perceived stress level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0.342</w:t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Low stress (0–18)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44 (11.1%)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 (9.50%)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 (12.8%)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Moderate stress (19–37)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319 (80.6%)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167 (83.5%)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152 (77.6%)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2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High stress (38–56)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33 (8.33%)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 (7.00%)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 (9.69%)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HWISE total score (0–36)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8.4 (6.1)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7.1 (5.7)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9.8 (6.2)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&lt;0.001</w:t>
            </w:r>
          </w:p>
        </w:tc>
      </w:tr>
      <w:tr>
        <w:trPr>
          <w:trHeight w:val="621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HWISE — Frongillo et al. 2024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0.003</w:t>
            </w:r>
          </w:p>
        </w:tc>
      </w:tr>
      <w:tr>
        <w:trPr>
          <w:trHeight w:val="62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 to marginal (0–2)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77 (19.4%)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52 (25.9%)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 (12.8%)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Low (3–11)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209 (52.6%)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104 (51.7%)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105 (53.6%)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Moderate (12–23)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105 (26.4%)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 (21.4%)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62 (31.6%)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2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High (24–36)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 (1.51%)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 (1.00%)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 (2.04%)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2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Supply continuity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0.017</w:t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Continuous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108 (28.3%)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61 (32.6%)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47 (24.2%)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Intermittent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268 (70.3%)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126 (67.4%)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142 (73.2%)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Other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 (1.31%)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 (2.58%)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2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Supply frequency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&lt;0.001</w:t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Daily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273 (70.5%)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160 (82.1%)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113 (58.9%)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4–6 days/week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 (10.3%)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 (7.18%)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 (13.5%)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1–3 days/week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74 (19.1%)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 (10.8%)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53 (27.6%)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Adequate water pressure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0.014</w:t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296 (76.3%)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161 (81.7%)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135 (70.7%)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No/Low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85 (21.9%)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35 (17.8%)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50 (26.2%)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 (1.80%)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(0.51%)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 (3.14%)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Trusts tap water quality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72 (18.6%)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35 (17.9%)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37 (19.4%)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0.794</w:t>
            </w:r>
          </w:p>
        </w:tc>
      </w:tr>
      <w:tr>
        <w:trPr>
          <w:trHeight w:val="621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 Uses local purificadora garrafón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358 (95.0%)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188 (94.0%)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170 (96.0%)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0.481</w:t>
            </w:r>
          </w:p>
        </w:tc>
      </w:tr>
      <w:tr>
        <w:trPr>
          <w:trHeight w:val="621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 Uses brand-name garrafón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44 (11.7%)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 (15.5%)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 (7.34%)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0.016</w:t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 Uses bottled water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131 (34.7%)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74 (37.0%)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57 (32.2%)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0.386</w:t>
            </w:r>
          </w:p>
        </w:tc>
      </w:tr>
      <w:tr>
        <w:trPr>
          <w:trHeight w:val="617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 Has tinaco (rooftop tank)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277 (73.9%)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143 (71.5%)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134 (76.6%)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0.290</w:t>
            </w:r>
          </w:p>
        </w:tc>
      </w:tr>
      <w:tr>
        <w:trPr>
          <w:trHeight w:val="62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 Has cisterna (underground tank)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189 (50.4%)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109 (54.5%)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80 (45.7%)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0.098</w:t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 Has tambo (barrel)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175 (46.7%)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103 (51.5%)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72 (41.1%)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0.049</w:t>
            </w:r>
          </w:p>
        </w:tc>
      </w:tr>
      <w:tr>
        <w:trPr>
          <w:trHeight w:val="619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 No. of storage types in use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2.2 (0.9)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2.2 (1.0)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2.2 (0.8)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0.930</w:t>
            </w:r>
          </w:p>
        </w:tc>
      </w:tr>
      <w:tr>
        <w:trPr>
          <w:trHeight w:val="615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Piped water bill waived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0.811</w:t>
            </w:r>
          </w:p>
        </w:tc>
      </w:tr>
      <w:tr>
        <w:trPr>
          <w:trHeight w:val="618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 (pays)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226 (68.9%)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127 (68.3%)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99 (69.7%)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Yes (waived)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102 (31.1%)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59 (31.7%)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 (30.3%)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Bimonthly piped water cost (pesos)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176.5 (270.5)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198.4 (302.9)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148.6 (220.4)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0.732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000000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555555"/>
              </w:rPr>
            </w:pPr>
            <w:r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vertAlign w:val="superscript"/>
                <w:sz w:val="18"/>
                <w:szCs w:val="18"/>
                <w:color w:val="555555"/>
              </w:rPr>
              <w:t xml:space="preserve">1</w:t>
            </w:r>
            <w:r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555555"/>
              </w:rPr>
              <w:t xml:space="preserve">Mean (SD); n (%)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555555"/>
              </w:rPr>
            </w:pPr>
            <w:r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vertAlign w:val="superscript"/>
                <w:sz w:val="18"/>
                <w:szCs w:val="18"/>
                <w:color w:val="555555"/>
              </w:rPr>
              <w:t xml:space="preserve">2</w:t>
            </w:r>
            <w:r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555555"/>
              </w:rPr>
              <w:t xml:space="preserve">Wilcoxon rank sum test; Fisher's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palomacz</cp:lastModifiedBy>
  <cp:revision>9</cp:revision>
  <dcterms:created xsi:type="dcterms:W3CDTF">2017-02-28T11:18:00Z</dcterms:created>
  <dcterms:modified xsi:type="dcterms:W3CDTF">2026-03-27T14:22:58Z</dcterms:modified>
  <cp:category/>
</cp:coreProperties>
</file>