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10. Full Models: All Significant Predictors</w:t>
      </w:r>
    </w:p>
    <w:p>
      <w:pPr>
        <w:pStyle w:val="Normal"/>
      </w:pPr>
      <w:r>
        <w:t xml:space="preserve">Generated: 2026-03-27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Significant Predictors Summary</w:t>
      </w:r>
    </w:p>
    <w:p>
      <w:pPr>
        <w:pStyle w:val="Normal"/>
      </w:pPr>
      <w:r>
        <w:t xml:space="preserve">The following predictors had p &lt; 0.05 (unadjusted focal coefficient) in at least one Aim 1 or Aim 2 adjusted model.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# Models significant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Found in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HW_WORRY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HW_PLANS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TIME_WATERYes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SUFF_RATING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HW_INTERR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W_PressureNo/Low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CONT_INTIntermittent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HRS_PER_WEEK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NB_COMPWorse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W_Frequency1–3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HW_DRINK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HW_SHAME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W_Frequency4–6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NB_COMPSame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EMO_NEG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W_WS_LOC_FWater Insecure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1 &amp; 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HW_SLEEP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HW_WORRY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PSS_TOTAL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HW_INTERR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Aim 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PSS Full Model (Linear Regression)</w:t>
      </w:r>
    </w:p>
    <w:p>
      <w:pPr>
        <w:pStyle w:val="Normal"/>
      </w:pPr>
      <w:r>
        <w:t xml:space="preserve">Outcome: PSS_TOTAL. Core covariates: Age, SES, Household size, Chronic disease. Additional predictors: all terms significant in Aim 1 or Aim 2 PSS models (p &lt; 0.05).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**Full PSS Model**: All significant predictors from Aim 1 &amp; Aim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4"/>
        <w:gridCol w:w="912"/>
        <w:gridCol w:w="1463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-0.19, 0.01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 composite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-0.14, 0.29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1.0, 5.1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HW_WORRY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-0.79, 1.1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HW_INTERR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-0.25, 1.8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HW_SLEEP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0.31, 3.4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 regression. Adjusted R² = 0.059. N = 368. p-values are unadjusted.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EMO Full Model (Logistic Regression)</w:t>
      </w:r>
    </w:p>
    <w:p>
      <w:pPr>
        <w:pStyle w:val="Normal"/>
      </w:pPr>
      <w:r>
        <w:t xml:space="preserve">Outcome: EMO_NEG (1 = negative emotion). Core covariates: Age, SES, Household size, Chronic disease, PSS_TOTAL. Additional predictors: all terms significant in Aim 1 or Aim 2 EMO models (p &lt; 0.05). Estimates are odds ratios.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**Full EMO Model**: All significant predictors from Aim 1 &amp; Aim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839"/>
        <w:gridCol w:w="1389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 composite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PSS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 water security (ref: Water Secure)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Insecure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HW_WORRY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HW_INTERR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HW_PLANS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0.75, 4.46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HW_DRINK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0.80, 3.13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HW_SHAME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of water supply/week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continuity (ref: Continuous)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1.13, 11.2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 comparison (ref: Better)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1.07, 6.34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0.80, 5.64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Excessive time managing water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1.43, 9.06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pressure (ref: Yes)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 (ref: Continuous)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4–6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0.32, 8.45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0.40, 4.77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Logistic regression. Estimates are odds ratios. N = 256. p-values are unadjusted.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2026-03-27T14:24:38Z</dcterms:modified>
  <cp:category/>
</cp:coreProperties>
</file>