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Palatino Linotype" w:cs="Palatino Linotype" w:eastAsia="Palatino Linotype" w:hAnsi="Palatino Linotype"/>
          <w:b/>
          <w:bCs/>
          <w:color w:val="1F3864"/>
          <w:sz w:val="32"/>
          <w:szCs w:val="32"/>
        </w:rPr>
        <w:t xml:space="preserve">AIM 1: REVISED LANGUAGE</w:t>
      </w:r>
    </w:p>
    <w:p>
      <w:pPr>
        <w:spacing w:after="400"/>
        <w:jc w:val="center"/>
      </w:pPr>
      <w:r>
        <w:rPr>
          <w:rFonts w:ascii="Palatino Linotype" w:cs="Palatino Linotype" w:eastAsia="Palatino Linotype" w:hAnsi="Palatino Linotype"/>
          <w:sz w:val="22"/>
          <w:szCs w:val="22"/>
        </w:rPr>
        <w:t xml:space="preserve">Deletions shown in </w:t>
      </w:r>
      <w:r>
        <w:rPr>
          <w:rFonts w:ascii="Palatino Linotype" w:cs="Palatino Linotype" w:eastAsia="Palatino Linotype" w:hAnsi="Palatino Linotype"/>
          <w:strike/>
          <w:color w:val="CC0000"/>
          <w:sz w:val="22"/>
          <w:szCs w:val="22"/>
        </w:rPr>
        <w:t xml:space="preserve">red strikethrough</w:t>
      </w:r>
      <w:r>
        <w:rPr>
          <w:rFonts w:ascii="Palatino Linotype" w:cs="Palatino Linotype" w:eastAsia="Palatino Linotype" w:hAnsi="Palatino Linotype"/>
          <w:sz w:val="22"/>
          <w:szCs w:val="22"/>
        </w:rPr>
        <w:t xml:space="preserve">; additions shown in </w:t>
      </w:r>
      <w:r>
        <w:rPr>
          <w:rFonts w:ascii="Palatino Linotype" w:cs="Palatino Linotype" w:eastAsia="Palatino Linotype" w:hAnsi="Palatino Linotype"/>
          <w:color w:val="006600"/>
          <w:sz w:val="22"/>
          <w:szCs w:val="22"/>
        </w:rPr>
        <w:t xml:space="preserve">green</w:t>
      </w:r>
      <w:r>
        <w:rPr>
          <w:rFonts w:ascii="Palatino Linotype" w:cs="Palatino Linotype" w:eastAsia="Palatino Linotype" w:hAnsi="Palatino Linotype"/>
          <w:sz w:val="22"/>
          <w:szCs w:val="22"/>
        </w:rPr>
        <w:t xml:space="preserve">. Annotations in [brackets] explain the rationale for changes.</w:t>
      </w:r>
    </w:p>
    <w:p>
      <w:pPr>
        <w:pStyle w:val="Heading1"/>
      </w:pPr>
      <w:r>
        <w:rPr>
          <w:rFonts w:ascii="Palatino Linotype" w:cs="Palatino Linotype" w:eastAsia="Palatino Linotype" w:hAnsi="Palatino Linotype"/>
          <w:sz w:val="22"/>
          <w:szCs w:val="22"/>
        </w:rPr>
        <w:t xml:space="preserve">1. Core Hypothesis (Aim 1 Rationale)</w:t>
      </w:r>
    </w:p>
    <w:p>
      <w:pPr>
        <w:shd w:fill="FFF8DC" w:val="clear"/>
        <w:spacing w:after="200"/>
      </w:pPr>
      <w:r>
        <w:rPr>
          <w:rFonts w:ascii="Palatino Linotype" w:cs="Palatino Linotype" w:eastAsia="Palatino Linotype" w:hAnsi="Palatino Linotype"/>
          <w:sz w:val="22"/>
          <w:szCs w:val="22"/>
        </w:rPr>
        <w:t xml:space="preserve">[The original hypothesis is sound but needs to be more precise about what centrality captures. The key change: centrality in this network reflects general signaling importance, not melanogenesis-specific importance. The prediction still holds.]</w:t>
      </w:r>
    </w:p>
    <w:p>
      <w:pPr>
        <w:pStyle w:val="Heading2"/>
      </w:pPr>
      <w:r>
        <w:rPr>
          <w:rFonts w:ascii="Palatino Linotype" w:cs="Palatino Linotype" w:eastAsia="Palatino Linotype" w:hAnsi="Palatino Linotype"/>
          <w:sz w:val="22"/>
          <w:szCs w:val="22"/>
        </w:rPr>
        <w:t xml:space="preserve">Revised paragraph:</w:t>
      </w:r>
    </w:p>
    <w:p>
      <w:pPr>
        <w:spacing w:after="160" w:line="276"/>
      </w:pPr>
      <w:r>
        <w:rPr>
          <w:rFonts w:ascii="Palatino Linotype" w:cs="Palatino Linotype" w:eastAsia="Palatino Linotype" w:hAnsi="Palatino Linotype"/>
          <w:sz w:val="22"/>
          <w:szCs w:val="22"/>
        </w:rPr>
        <w:t xml:space="preserve">We hypothesize that a gene’s structural position within the melanogenesis </w:t>
      </w:r>
      <w:r>
        <w:rPr>
          <w:rFonts w:ascii="Palatino Linotype" w:cs="Palatino Linotype" w:eastAsia="Palatino Linotype" w:hAnsi="Palatino Linotype"/>
          <w:strike/>
          <w:color w:val="CC0000"/>
          <w:sz w:val="22"/>
          <w:szCs w:val="22"/>
        </w:rPr>
        <w:t xml:space="preserve">network helps determine this tolerance: peripheral genes with limited downstream dependencies</w:t>
      </w:r>
      <w:r>
        <w:rPr>
          <w:rFonts w:ascii="Palatino Linotype" w:cs="Palatino Linotype" w:eastAsia="Palatino Linotype" w:hAnsi="Palatino Linotype"/>
          <w:color w:val="006600"/>
          <w:sz w:val="22"/>
          <w:szCs w:val="22"/>
        </w:rPr>
        <w:t xml:space="preserve">signaling network predicts its tolerance to variation. Genes occupying central, high-traffic positions in the network—those connecting multiple signaling arms and serving as bottlenecks for information flow—</w:t>
      </w:r>
      <w:r>
        <w:rPr>
          <w:rFonts w:ascii="Palatino Linotype" w:cs="Palatino Linotype" w:eastAsia="Palatino Linotype" w:hAnsi="Palatino Linotype"/>
          <w:sz w:val="22"/>
          <w:szCs w:val="22"/>
        </w:rPr>
        <w:t xml:space="preserve">should </w:t>
      </w:r>
      <w:r>
        <w:rPr>
          <w:rFonts w:ascii="Palatino Linotype" w:cs="Palatino Linotype" w:eastAsia="Palatino Linotype" w:hAnsi="Palatino Linotype"/>
          <w:strike/>
          <w:color w:val="CC0000"/>
          <w:sz w:val="22"/>
          <w:szCs w:val="22"/>
        </w:rPr>
        <w:t xml:space="preserve">more often harbor population-specific adaptive variants, whereas central bottleneck genes should</w:t>
      </w:r>
      <w:r>
        <w:rPr>
          <w:rFonts w:ascii="Palatino Linotype" w:cs="Palatino Linotype" w:eastAsia="Palatino Linotype" w:hAnsi="Palatino Linotype"/>
          <w:sz w:val="22"/>
          <w:szCs w:val="22"/>
        </w:rPr>
        <w:t xml:space="preserve">be under strong purifying constraint </w:t>
      </w:r>
      <w:r>
        <w:rPr>
          <w:rFonts w:ascii="Palatino Linotype" w:cs="Palatino Linotype" w:eastAsia="Palatino Linotype" w:hAnsi="Palatino Linotype"/>
          <w:strike/>
          <w:color w:val="CC0000"/>
          <w:sz w:val="22"/>
          <w:szCs w:val="22"/>
        </w:rPr>
        <w:t xml:space="preserve">regardless of their pigmentation role.</w:t>
      </w:r>
      <w:r>
        <w:rPr>
          <w:rFonts w:ascii="Palatino Linotype" w:cs="Palatino Linotype" w:eastAsia="Palatino Linotype" w:hAnsi="Palatino Linotype"/>
          <w:color w:val="006600"/>
          <w:sz w:val="22"/>
          <w:szCs w:val="22"/>
        </w:rPr>
        <w:t xml:space="preserve">because they are embedded in broadly essential signaling infrastructure shared across cell types and biological systems. Conversely, genes at peripheral terminal positions—including the melanin biosynthetic enzymes themselves—should be more tolerant of variation, precisely because their loss-of-function consequences are restricted to pigmentation. This architecture would make peripheral effectors the primary targets for adaptive allele-frequency changes, while upstream signaling hubs remain locked by pleiotropic constraint.</w:t>
      </w:r>
    </w:p>
    <w:p>
      <w:pPr>
        <w:pStyle w:val="Heading1"/>
      </w:pPr>
      <w:r>
        <w:rPr>
          <w:rFonts w:ascii="Palatino Linotype" w:cs="Palatino Linotype" w:eastAsia="Palatino Linotype" w:hAnsi="Palatino Linotype"/>
          <w:sz w:val="22"/>
          <w:szCs w:val="22"/>
        </w:rPr>
        <w:t xml:space="preserve">2. Preliminary Data</w:t>
      </w:r>
    </w:p>
    <w:p>
      <w:pPr>
        <w:shd w:fill="FFF8DC" w:val="clear"/>
        <w:spacing w:after="200"/>
      </w:pPr>
      <w:r>
        <w:rPr>
          <w:rFonts w:ascii="Palatino Linotype" w:cs="Palatino Linotype" w:eastAsia="Palatino Linotype" w:hAnsi="Palatino Linotype"/>
          <w:sz w:val="22"/>
          <w:szCs w:val="22"/>
        </w:rPr>
        <w:t xml:space="preserve">[Two issues here: (1) the network source is described as ‘KEGG plus STRING’ but is actually Raghunath et al. 2015; (2) the description should clarify what centrality means in this network.]</w:t>
      </w:r>
    </w:p>
    <w:p>
      <w:pPr>
        <w:pStyle w:val="Heading2"/>
      </w:pPr>
      <w:r>
        <w:rPr>
          <w:rFonts w:ascii="Palatino Linotype" w:cs="Palatino Linotype" w:eastAsia="Palatino Linotype" w:hAnsi="Palatino Linotype"/>
          <w:sz w:val="22"/>
          <w:szCs w:val="22"/>
        </w:rPr>
        <w:t xml:space="preserve">Revised paragraph:</w:t>
      </w:r>
    </w:p>
    <w:p>
      <w:pPr>
        <w:spacing w:after="160" w:line="276"/>
      </w:pPr>
      <w:r>
        <w:rPr>
          <w:rFonts w:ascii="Palatino Linotype" w:cs="Palatino Linotype" w:eastAsia="Palatino Linotype" w:hAnsi="Palatino Linotype"/>
          <w:b/>
          <w:bCs/>
          <w:sz w:val="22"/>
          <w:szCs w:val="22"/>
        </w:rPr>
        <w:t xml:space="preserve">Preliminary data. </w:t>
      </w:r>
      <w:r>
        <w:rPr>
          <w:rFonts w:ascii="Palatino Linotype" w:cs="Palatino Linotype" w:eastAsia="Palatino Linotype" w:hAnsi="Palatino Linotype"/>
          <w:sz w:val="22"/>
          <w:szCs w:val="22"/>
        </w:rPr>
        <w:t xml:space="preserve">We performed a pilot analysis using </w:t>
      </w:r>
      <w:r>
        <w:rPr>
          <w:rFonts w:ascii="Palatino Linotype" w:cs="Palatino Linotype" w:eastAsia="Palatino Linotype" w:hAnsi="Palatino Linotype"/>
          <w:strike/>
          <w:color w:val="CC0000"/>
          <w:sz w:val="22"/>
          <w:szCs w:val="22"/>
        </w:rPr>
        <w:t xml:space="preserve">a 130-gene melanogenesis network compiled from KEGG plus STRING interactions.</w:t>
      </w:r>
      <w:r>
        <w:rPr>
          <w:rFonts w:ascii="Palatino Linotype" w:cs="Palatino Linotype" w:eastAsia="Palatino Linotype" w:hAnsi="Palatino Linotype"/>
          <w:color w:val="006600"/>
          <w:sz w:val="22"/>
          <w:szCs w:val="22"/>
        </w:rPr>
        <w:t xml:space="preserve">the 130-gene melanocyte signaling network from Raghunath et al. (2015), which models directed interactions across melanocyte signaling cascades including MAPK, PI3K/AKT, cAMP, and Wnt pathways converging on melanin biosynthesis.</w:t>
      </w:r>
      <w:r>
        <w:rPr>
          <w:rFonts w:ascii="Palatino Linotype" w:cs="Palatino Linotype" w:eastAsia="Palatino Linotype" w:hAnsi="Palatino Linotype"/>
          <w:sz w:val="22"/>
          <w:szCs w:val="22"/>
        </w:rPr>
        <w:t xml:space="preserve"> For each gene, we computed betweenness centrality</w:t>
      </w:r>
      <w:r>
        <w:rPr>
          <w:rFonts w:ascii="Palatino Linotype" w:cs="Palatino Linotype" w:eastAsia="Palatino Linotype" w:hAnsi="Palatino Linotype"/>
          <w:color w:val="006600"/>
          <w:sz w:val="22"/>
          <w:szCs w:val="22"/>
        </w:rPr>
        <w:t xml:space="preserve">—a graph-theoretic measure of how frequently a node lies on shortest paths between other nodes, capturing its role as a signaling bottleneck—</w:t>
      </w:r>
      <w:r>
        <w:rPr>
          <w:rFonts w:ascii="Palatino Linotype" w:cs="Palatino Linotype" w:eastAsia="Palatino Linotype" w:hAnsi="Palatino Linotype"/>
          <w:sz w:val="22"/>
          <w:szCs w:val="22"/>
        </w:rPr>
        <w:t xml:space="preserve">and extracted LOEUF scores</w:t>
      </w:r>
      <w:r>
        <w:rPr>
          <w:rFonts w:ascii="Palatino Linotype" w:cs="Palatino Linotype" w:eastAsia="Palatino Linotype" w:hAnsi="Palatino Linotype"/>
          <w:color w:val="006600"/>
          <w:sz w:val="22"/>
          <w:szCs w:val="22"/>
        </w:rPr>
        <w:t xml:space="preserve"> from gnomAD v2.1.1</w:t>
      </w:r>
      <w:r>
        <w:rPr>
          <w:rFonts w:ascii="Palatino Linotype" w:cs="Palatino Linotype" w:eastAsia="Palatino Linotype" w:hAnsi="Palatino Linotype"/>
          <w:sz w:val="22"/>
          <w:szCs w:val="22"/>
        </w:rPr>
        <w:t xml:space="preserve">. </w:t>
      </w:r>
    </w:p>
    <w:p>
      <w:pPr>
        <w:spacing w:after="160" w:line="276"/>
      </w:pPr>
      <w:r>
        <w:rPr>
          <w:rFonts w:ascii="Palatino Linotype" w:cs="Palatino Linotype" w:eastAsia="Palatino Linotype" w:hAnsi="Palatino Linotype"/>
          <w:sz w:val="22"/>
          <w:szCs w:val="22"/>
        </w:rPr>
        <w:t xml:space="preserve">Genes in different functional classes showed distinct constraint levels: developmental and neural-crest genes (median LOEUF ≈ 0.35) were substantially more constrained than pigment-specific genes (median LOEUF ≈ </w:t>
      </w:r>
      <w:r>
        <w:rPr>
          <w:rFonts w:ascii="Palatino Linotype" w:cs="Palatino Linotype" w:eastAsia="Palatino Linotype" w:hAnsi="Palatino Linotype"/>
          <w:strike/>
          <w:color w:val="CC0000"/>
          <w:sz w:val="22"/>
          <w:szCs w:val="22"/>
        </w:rPr>
        <w:t xml:space="preserve">1.25</w:t>
      </w:r>
      <w:r>
        <w:rPr>
          <w:rFonts w:ascii="Palatino Linotype" w:cs="Palatino Linotype" w:eastAsia="Palatino Linotype" w:hAnsi="Palatino Linotype"/>
          <w:color w:val="006600"/>
          <w:sz w:val="22"/>
          <w:szCs w:val="22"/>
        </w:rPr>
        <w:t xml:space="preserve">1.89</w:t>
      </w:r>
      <w:r>
        <w:rPr>
          <w:rFonts w:ascii="Palatino Linotype" w:cs="Palatino Linotype" w:eastAsia="Palatino Linotype" w:hAnsi="Palatino Linotype"/>
          <w:sz w:val="22"/>
          <w:szCs w:val="22"/>
        </w:rPr>
        <w:t xml:space="preserve">) (Figure 1B). Syndromic pigmentation genes were significantly more constrained than genes causing isolated pigmentation phenotypes (</w:t>
      </w:r>
      <w:r>
        <w:rPr>
          <w:rFonts w:ascii="Palatino Linotype" w:cs="Palatino Linotype" w:eastAsia="Palatino Linotype" w:hAnsi="Palatino Linotype"/>
          <w:i/>
          <w:iCs/>
          <w:sz w:val="22"/>
          <w:szCs w:val="22"/>
        </w:rPr>
        <w:t xml:space="preserve">p</w:t>
      </w:r>
      <w:r>
        <w:rPr>
          <w:rFonts w:ascii="Palatino Linotype" w:cs="Palatino Linotype" w:eastAsia="Palatino Linotype" w:hAnsi="Palatino Linotype"/>
          <w:sz w:val="22"/>
          <w:szCs w:val="22"/>
        </w:rPr>
        <w:t xml:space="preserve"> = 6.78 × 10⁻⁵; Figure 1C). </w:t>
      </w:r>
      <w:r>
        <w:rPr>
          <w:rFonts w:ascii="Palatino Linotype" w:cs="Palatino Linotype" w:eastAsia="Palatino Linotype" w:hAnsi="Palatino Linotype"/>
          <w:strike/>
          <w:color w:val="CC0000"/>
          <w:sz w:val="22"/>
          <w:szCs w:val="22"/>
        </w:rPr>
        <w:t xml:space="preserve">We also observed a trend consistent with our hypothesis: genes with higher betweenness centrality tended to have lower LOEUF scores (Figure 1A).</w:t>
      </w:r>
      <w:r>
        <w:rPr>
          <w:rFonts w:ascii="Palatino Linotype" w:cs="Palatino Linotype" w:eastAsia="Palatino Linotype" w:hAnsi="Palatino Linotype"/>
          <w:color w:val="006600"/>
          <w:sz w:val="22"/>
          <w:szCs w:val="22"/>
        </w:rPr>
        <w:t xml:space="preserve">Consistent with our hypothesis, the most central nodes in the network—generic signaling hubs such as NFKB1, AKT1, PIK3CA, and CREB1—were among the most constrained genes (LOEUF &lt; 0.35), while the melanin biosynthetic enzymes (TYR, TYRP1, DCT) occupied peripheral, terminal positions and were highly tolerant (LOEUF &gt; 1.0) (Figure 1A). Notably, MITF—both a master melanocyte transcription factor and a topologically central node—was strongly constrained (LOEUF = 0.31), consistent with its dual role in melanocyte specification and neural crest development.</w:t>
      </w:r>
      <w:r>
        <w:rPr>
          <w:rFonts w:ascii="Palatino Linotype" w:cs="Palatino Linotype" w:eastAsia="Palatino Linotype" w:hAnsi="Palatino Linotype"/>
          <w:sz w:val="22"/>
          <w:szCs w:val="22"/>
        </w:rPr>
        <w:t xml:space="preserve"> These patterns, based on a modest network and univariate analyses, should be interpreted as preliminary. Aim 1 will test these relationships systematically in a more complete network, using formal covariate control and permutation-based null models.</w:t>
      </w:r>
    </w:p>
    <w:p>
      <w:r>
        <w:br w:type="page"/>
      </w:r>
    </w:p>
    <w:p>
      <w:pPr>
        <w:pStyle w:val="Heading1"/>
      </w:pPr>
      <w:r>
        <w:rPr>
          <w:rFonts w:ascii="Palatino Linotype" w:cs="Palatino Linotype" w:eastAsia="Palatino Linotype" w:hAnsi="Palatino Linotype"/>
          <w:sz w:val="22"/>
          <w:szCs w:val="22"/>
        </w:rPr>
        <w:t xml:space="preserve">3. Network Validation Criterion</w:t>
      </w:r>
    </w:p>
    <w:p>
      <w:pPr>
        <w:shd w:fill="FFF8DC" w:val="clear"/>
        <w:spacing w:after="200"/>
      </w:pPr>
      <w:r>
        <w:rPr>
          <w:rFonts w:ascii="Palatino Linotype" w:cs="Palatino Linotype" w:eastAsia="Palatino Linotype" w:hAnsi="Palatino Linotype"/>
          <w:sz w:val="22"/>
          <w:szCs w:val="22"/>
        </w:rPr>
        <w:t xml:space="preserve">[This is the main error. The original claims TYR/TYRP1/DCT should occupy high-centrality positions. In fact they are peripheral, and the hypothesis predicts they should be. The validation should confirm the expected topology, not contradict it.]</w:t>
      </w:r>
    </w:p>
    <w:p>
      <w:pPr>
        <w:pStyle w:val="Heading2"/>
      </w:pPr>
      <w:r>
        <w:rPr>
          <w:rFonts w:ascii="Palatino Linotype" w:cs="Palatino Linotype" w:eastAsia="Palatino Linotype" w:hAnsi="Palatino Linotype"/>
          <w:sz w:val="22"/>
          <w:szCs w:val="22"/>
        </w:rPr>
        <w:t xml:space="preserve">Original text (end of Network construction and validation):</w:t>
      </w:r>
    </w:p>
    <w:p>
      <w:pPr>
        <w:shd w:fill="FFF0F0" w:val="clear"/>
        <w:spacing w:after="160" w:line="276"/>
      </w:pPr>
      <w:r>
        <w:rPr>
          <w:rFonts w:ascii="Palatino Linotype" w:cs="Palatino Linotype" w:eastAsia="Palatino Linotype" w:hAnsi="Palatino Linotype"/>
          <w:sz w:val="22"/>
          <w:szCs w:val="22"/>
        </w:rPr>
        <w:t xml:space="preserve">We will validate the network by (i) testing enrichment of pigmentation GWAS hits among network genes (hypergeometric test) and (ii) confirming that </w:t>
      </w:r>
      <w:r>
        <w:rPr>
          <w:rFonts w:ascii="Palatino Linotype" w:cs="Palatino Linotype" w:eastAsia="Palatino Linotype" w:hAnsi="Palatino Linotype"/>
          <w:strike/>
          <w:color w:val="CC0000"/>
          <w:sz w:val="22"/>
          <w:szCs w:val="22"/>
        </w:rPr>
        <w:t xml:space="preserve">core biosynthetic genes (TYR, TYRP1, DCT) occupy high-centrality positions consistent with established pathway models.</w:t>
      </w:r>
    </w:p>
    <w:p>
      <w:pPr>
        <w:pStyle w:val="Heading2"/>
      </w:pPr>
      <w:r>
        <w:rPr>
          <w:rFonts w:ascii="Palatino Linotype" w:cs="Palatino Linotype" w:eastAsia="Palatino Linotype" w:hAnsi="Palatino Linotype"/>
          <w:sz w:val="22"/>
          <w:szCs w:val="22"/>
        </w:rPr>
        <w:t xml:space="preserve">Revised text:</w:t>
      </w:r>
    </w:p>
    <w:p>
      <w:pPr>
        <w:shd w:fill="F0FFF0" w:val="clear"/>
        <w:spacing w:after="160" w:line="276"/>
      </w:pPr>
      <w:r>
        <w:rPr>
          <w:rFonts w:ascii="Palatino Linotype" w:cs="Palatino Linotype" w:eastAsia="Palatino Linotype" w:hAnsi="Palatino Linotype"/>
          <w:sz w:val="22"/>
          <w:szCs w:val="22"/>
        </w:rPr>
        <w:t xml:space="preserve">We will validate the network by (i) testing enrichment of pigmentation GWAS hits among network genes (hypergeometric test)</w:t>
      </w:r>
      <w:r>
        <w:rPr>
          <w:rFonts w:ascii="Palatino Linotype" w:cs="Palatino Linotype" w:eastAsia="Palatino Linotype" w:hAnsi="Palatino Linotype"/>
          <w:color w:val="006600"/>
          <w:sz w:val="22"/>
          <w:szCs w:val="22"/>
        </w:rPr>
        <w:t xml:space="preserve">, (ii) confirming that the network topology reflects expected signaling architecture—with upstream developmental regulators (MITF, SOX10, KIT) and generic signaling hubs (AKT1, PIK3CA, MAPK cascade genes) occupying high-centrality bottleneck positions, and melanin biosynthetic effectors (TYR, TYRP1, DCT) at peripheral terminal positions—and (iii) verifying that centrality rankings are robust across network construction choices by comparing KEGG-only, Reactome-only, and STRING-only networks using rank correlations.</w:t>
      </w:r>
    </w:p>
    <w:p>
      <w:pPr>
        <w:pStyle w:val="Heading1"/>
      </w:pPr>
      <w:r>
        <w:rPr>
          <w:rFonts w:ascii="Palatino Linotype" w:cs="Palatino Linotype" w:eastAsia="Palatino Linotype" w:hAnsi="Palatino Linotype"/>
          <w:sz w:val="22"/>
          <w:szCs w:val="22"/>
        </w:rPr>
        <w:t xml:space="preserve">4. Suggested Addition: Interpreting Centrality</w:t>
      </w:r>
    </w:p>
    <w:p>
      <w:pPr>
        <w:shd w:fill="FFF8DC" w:val="clear"/>
        <w:spacing w:after="200"/>
      </w:pPr>
      <w:r>
        <w:rPr>
          <w:rFonts w:ascii="Palatino Linotype" w:cs="Palatino Linotype" w:eastAsia="Palatino Linotype" w:hAnsi="Palatino Linotype"/>
          <w:sz w:val="22"/>
          <w:szCs w:val="22"/>
        </w:rPr>
        <w:t xml:space="preserve">[Consider adding a brief paragraph after the network construction section to explicitly address what centrality captures in this network. This preempts the reviewer question ‘but aren’t TYR and TYRP1 the most important melanogenesis genes?’ and strengthens the link to Aim 2.]</w:t>
      </w:r>
    </w:p>
    <w:p>
      <w:pPr>
        <w:pStyle w:val="Heading2"/>
      </w:pPr>
      <w:r>
        <w:rPr>
          <w:rFonts w:ascii="Palatino Linotype" w:cs="Palatino Linotype" w:eastAsia="Palatino Linotype" w:hAnsi="Palatino Linotype"/>
          <w:sz w:val="22"/>
          <w:szCs w:val="22"/>
        </w:rPr>
        <w:t xml:space="preserve">New paragraph to insert:</w:t>
      </w:r>
    </w:p>
    <w:p>
      <w:pPr>
        <w:shd w:fill="F0FFF0" w:val="clear"/>
        <w:spacing w:after="160" w:line="276"/>
      </w:pPr>
      <w:r>
        <w:rPr>
          <w:rFonts w:ascii="Palatino Linotype" w:cs="Palatino Linotype" w:eastAsia="Palatino Linotype" w:hAnsi="Palatino Linotype"/>
          <w:b/>
          <w:bCs/>
          <w:color w:val="006600"/>
          <w:sz w:val="22"/>
          <w:szCs w:val="22"/>
        </w:rPr>
        <w:t xml:space="preserve">Interpreting network centrality. </w:t>
      </w:r>
      <w:r>
        <w:rPr>
          <w:rFonts w:ascii="Palatino Linotype" w:cs="Palatino Linotype" w:eastAsia="Palatino Linotype" w:hAnsi="Palatino Linotype"/>
          <w:color w:val="006600"/>
          <w:sz w:val="22"/>
          <w:szCs w:val="22"/>
        </w:rPr>
        <w:t xml:space="preserve">An important distinction underlies our predictions: centrality within the melanogenesis signaling network does not equate to importance for melanin production </w:t>
      </w:r>
      <w:r>
        <w:rPr>
          <w:rFonts w:ascii="Palatino Linotype" w:cs="Palatino Linotype" w:eastAsia="Palatino Linotype" w:hAnsi="Palatino Linotype"/>
          <w:i/>
          <w:iCs/>
          <w:color w:val="006600"/>
          <w:sz w:val="22"/>
          <w:szCs w:val="22"/>
        </w:rPr>
        <w:t xml:space="preserve">per se</w:t>
      </w:r>
      <w:r>
        <w:rPr>
          <w:rFonts w:ascii="Palatino Linotype" w:cs="Palatino Linotype" w:eastAsia="Palatino Linotype" w:hAnsi="Palatino Linotype"/>
          <w:color w:val="006600"/>
          <w:sz w:val="22"/>
          <w:szCs w:val="22"/>
        </w:rPr>
        <w:t xml:space="preserve">. TYR is the rate-limiting enzyme for melanin synthesis, yet it occupies a terminal position in the signaling cascade with few connections to other pathway components. By contrast, genes like NFKB1 and AKT1 are topological hubs because they integrate signals from multiple upstream inputs and distribute outputs to many downstream targets—roles that reflect their broad functions across cell types, not melanocyte-specific importance. Our hypothesis is precisely that this distinction between topological centrality (signaling integration) and functional essentiality (melanin production) maps onto the distinction between pleiotropic constraint and tissue-specific evolvability. Aim 2 will test whether the constraint captured by within-pathway centrality is mechanistically attributable to cross-system pleiotropy.</w:t>
      </w:r>
    </w:p>
    <w:p>
      <w:r>
        <w:br w:type="page"/>
      </w:r>
    </w:p>
    <w:p>
      <w:pPr>
        <w:pStyle w:val="Heading1"/>
      </w:pPr>
      <w:r>
        <w:rPr>
          <w:rFonts w:ascii="Palatino Linotype" w:cs="Palatino Linotype" w:eastAsia="Palatino Linotype" w:hAnsi="Palatino Linotype"/>
          <w:sz w:val="22"/>
          <w:szCs w:val="22"/>
        </w:rPr>
        <w:t xml:space="preserve">5. Summary of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Palatino Linotype" w:cs="Palatino Linotype" w:eastAsia="Palatino Linotype" w:hAnsi="Palatino Linotype"/>
                <w:b/>
                <w:bCs/>
                <w:color w:val="FFFFFF"/>
                <w:sz w:val="20"/>
                <w:szCs w:val="20"/>
              </w:rPr>
              <w:t xml:space="preserve">Section</w:t>
            </w:r>
          </w:p>
        </w:tc>
        <w:tc>
          <w:tcPr>
            <w:tcW w:type="dxa" w:w="35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Palatino Linotype" w:cs="Palatino Linotype" w:eastAsia="Palatino Linotype" w:hAnsi="Palatino Linotype"/>
                <w:b/>
                <w:bCs/>
                <w:color w:val="FFFFFF"/>
                <w:sz w:val="20"/>
                <w:szCs w:val="20"/>
              </w:rPr>
              <w:t xml:space="preserve">Issue</w:t>
            </w:r>
          </w:p>
        </w:tc>
        <w:tc>
          <w:tcPr>
            <w:tcW w:type="dxa" w:w="35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Palatino Linotype" w:cs="Palatino Linotype" w:eastAsia="Palatino Linotype" w:hAnsi="Palatino Linotype"/>
                <w:b/>
                <w:bCs/>
                <w:color w:val="FFFFFF"/>
                <w:sz w:val="20"/>
                <w:szCs w:val="20"/>
              </w:rPr>
              <w:t xml:space="preserve">Fix</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Palatino Linotype" w:cs="Palatino Linotype" w:eastAsia="Palatino Linotype" w:hAnsi="Palatino Linotype"/>
                <w:sz w:val="20"/>
                <w:szCs w:val="20"/>
              </w:rPr>
              <w:t xml:space="preserve">Hypothesis</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Palatino Linotype" w:cs="Palatino Linotype" w:eastAsia="Palatino Linotype" w:hAnsi="Palatino Linotype"/>
                <w:sz w:val="20"/>
                <w:szCs w:val="20"/>
              </w:rPr>
              <w:t xml:space="preserve">Implies centrality = importance to melanogenesis</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Palatino Linotype" w:cs="Palatino Linotype" w:eastAsia="Palatino Linotype" w:hAnsi="Palatino Linotype"/>
                <w:sz w:val="20"/>
                <w:szCs w:val="20"/>
              </w:rPr>
              <w:t xml:space="preserve">Reframe: centrality = signaling integration, predicting pleiotropic constraint vs tissue-specific evolvability</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40"/>
            </w:pPr>
            <w:r>
              <w:rPr>
                <w:rFonts w:ascii="Palatino Linotype" w:cs="Palatino Linotype" w:eastAsia="Palatino Linotype" w:hAnsi="Palatino Linotype"/>
                <w:sz w:val="20"/>
                <w:szCs w:val="20"/>
              </w:rPr>
              <w:t xml:space="preserve">Prelim. data</w:t>
            </w:r>
          </w:p>
        </w:tc>
        <w:tc>
          <w:tcPr>
            <w:tcW w:type="dxa" w:w="35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40"/>
            </w:pPr>
            <w:r>
              <w:rPr>
                <w:rFonts w:ascii="Palatino Linotype" w:cs="Palatino Linotype" w:eastAsia="Palatino Linotype" w:hAnsi="Palatino Linotype"/>
                <w:sz w:val="20"/>
                <w:szCs w:val="20"/>
              </w:rPr>
              <w:t xml:space="preserve">Network described as 'KEGG plus STRING' (it's Raghunath); LOEUF median for pigment genes listed as 1.25 (it's 1.89)</w:t>
            </w:r>
          </w:p>
        </w:tc>
        <w:tc>
          <w:tcPr>
            <w:tcW w:type="dxa" w:w="35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40"/>
            </w:pPr>
            <w:r>
              <w:rPr>
                <w:rFonts w:ascii="Palatino Linotype" w:cs="Palatino Linotype" w:eastAsia="Palatino Linotype" w:hAnsi="Palatino Linotype"/>
                <w:sz w:val="20"/>
                <w:szCs w:val="20"/>
              </w:rPr>
              <w:t xml:space="preserve">Correct source attribution; fix median; name specific central and peripheral genes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Palatino Linotype" w:cs="Palatino Linotype" w:eastAsia="Palatino Linotype" w:hAnsi="Palatino Linotype"/>
                <w:sz w:val="20"/>
                <w:szCs w:val="20"/>
              </w:rPr>
              <w:t xml:space="preserve">Validation</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Palatino Linotype" w:cs="Palatino Linotype" w:eastAsia="Palatino Linotype" w:hAnsi="Palatino Linotype"/>
                <w:sz w:val="20"/>
                <w:szCs w:val="20"/>
              </w:rPr>
              <w:t xml:space="preserve">Claims TYR/TYRP1/DCT should have high centrality—contradicts data AND hypothesis</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Palatino Linotype" w:cs="Palatino Linotype" w:eastAsia="Palatino Linotype" w:hAnsi="Palatino Linotype"/>
                <w:sz w:val="20"/>
                <w:szCs w:val="20"/>
              </w:rPr>
              <w:t xml:space="preserve">Reverse: validate that biosynthetic effectors are peripheral and signaling hubs are central</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40"/>
            </w:pPr>
            <w:r>
              <w:rPr>
                <w:rFonts w:ascii="Palatino Linotype" w:cs="Palatino Linotype" w:eastAsia="Palatino Linotype" w:hAnsi="Palatino Linotype"/>
                <w:sz w:val="20"/>
                <w:szCs w:val="20"/>
              </w:rPr>
              <w:t xml:space="preserve">New addition</w:t>
            </w:r>
          </w:p>
        </w:tc>
        <w:tc>
          <w:tcPr>
            <w:tcW w:type="dxa" w:w="35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40"/>
            </w:pPr>
            <w:r>
              <w:rPr>
                <w:rFonts w:ascii="Palatino Linotype" w:cs="Palatino Linotype" w:eastAsia="Palatino Linotype" w:hAnsi="Palatino Linotype"/>
                <w:sz w:val="20"/>
                <w:szCs w:val="20"/>
              </w:rPr>
              <w:t xml:space="preserve">No explicit discussion of what centrality means in this network</w:t>
            </w:r>
          </w:p>
        </w:tc>
        <w:tc>
          <w:tcPr>
            <w:tcW w:type="dxa" w:w="35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40"/>
            </w:pPr>
            <w:r>
              <w:rPr>
                <w:rFonts w:ascii="Palatino Linotype" w:cs="Palatino Linotype" w:eastAsia="Palatino Linotype" w:hAnsi="Palatino Linotype"/>
                <w:sz w:val="20"/>
                <w:szCs w:val="20"/>
              </w:rPr>
              <w:t xml:space="preserve">Add paragraph distinguishing topological centrality from functional essentiality; links to Aim 2</w:t>
            </w:r>
          </w:p>
        </w:tc>
      </w:tr>
    </w:tbl>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Palatino Linotype" w:cs="Palatino Linotype" w:eastAsia="Palatino Linotype" w:hAnsi="Palatino Linotype"/>
        <w:i/>
        <w:iCs/>
        <w:color w:val="888888"/>
        <w:sz w:val="18"/>
        <w:szCs w:val="18"/>
      </w:rPr>
      <w:t xml:space="preserve">Aim 1 — Revised Draft Language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Palatino Linotype" w:cs="Palatino Linotype" w:eastAsia="Palatino Linotype" w:hAnsi="Palatino Linotype"/>
      <w:b/>
      <w:bCs/>
      <w:color w:val="1F3864"/>
      <w:sz w:val="28"/>
      <w:szCs w:val="28"/>
    </w:rPr>
  </w:style>
  <w:style w:type="paragraph" w:styleId="Heading2">
    <w:name w:val="Heading 2"/>
    <w:basedOn w:val="Normal"/>
    <w:next w:val="Normal"/>
    <w:qFormat/>
    <w:pPr>
      <w:spacing w:before="280" w:after="160"/>
      <w:outlineLvl w:val="1"/>
    </w:pPr>
    <w:rPr>
      <w:rFonts w:ascii="Palatino Linotype" w:cs="Palatino Linotype" w:eastAsia="Palatino Linotype" w:hAnsi="Palatino Linotype"/>
      <w:b/>
      <w:bCs/>
      <w:color w:val="2E5090"/>
      <w:sz w:val="24"/>
      <w:szCs w:val="24"/>
    </w:rPr>
  </w:style>
  <w:style w:type="paragraph" w:styleId="Heading3">
    <w:name w:val="Heading 3"/>
    <w:basedOn w:val="Normal"/>
    <w:next w:val="Normal"/>
    <w:qFormat/>
    <w:pPr>
      <w:spacing w:before="240" w:after="120"/>
      <w:outlineLvl w:val="2"/>
    </w:pPr>
    <w:rPr>
      <w:rFonts w:ascii="Palatino Linotype" w:cs="Palatino Linotype" w:eastAsia="Palatino Linotype" w:hAnsi="Palatino Linotype"/>
      <w:b/>
      <w:bCs/>
      <w:i/>
      <w:iCs/>
      <w:color w:val="2E5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2026-02-10T18:17:59.438Z</dcterms:created>
  <dcterms:modified xsi:type="dcterms:W3CDTF">2026-02-10T18:17:59.439Z</dcterms:modified>
</cp:coreProperties>
</file>

<file path=docProps/custom.xml><?xml version="1.0" encoding="utf-8"?>
<Properties xmlns="http://schemas.openxmlformats.org/officeDocument/2006/custom-properties" xmlns:vt="http://schemas.openxmlformats.org/officeDocument/2006/docPropsVTypes"/>
</file>