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6B0CCA" w:rsidRPr="006B0CCA" w:rsidRDefault="006B0CCA" w:rsidP="006B0CCA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6B0CC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COS30018 – Introduction to Artificial Intelligence</w:t>
      </w:r>
    </w:p>
    <w:p w:rsidR="006B0CCA" w:rsidRPr="006B0CCA" w:rsidRDefault="006B0CCA" w:rsidP="006B0CCA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6B0CC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Option C – Task 7 – Sentiment-Based Stock Price Movement Prediction</w:t>
      </w:r>
    </w:p>
    <w:p w:rsidR="006B0CCA" w:rsidRPr="006B0CCA" w:rsidRDefault="006B0CCA" w:rsidP="006B0CCA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0CCA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Student Name:</w:t>
      </w:r>
      <w:r w:rsidRPr="006B0CC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Lasith Charuka Perera</w:t>
      </w:r>
      <w:r w:rsidRPr="006B0CC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6B0CCA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Student ID:</w:t>
      </w:r>
      <w:r w:rsidRPr="006B0CC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105106314</w:t>
      </w:r>
      <w:r w:rsidRPr="006B0CC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6B0CCA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Submission Date:</w:t>
      </w:r>
      <w:r w:rsidRPr="006B0CC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2 November 2025</w:t>
      </w:r>
    </w:p>
    <w:p w:rsidR="006B0CCA" w:rsidRPr="006B0CCA" w:rsidRDefault="00403FC3" w:rsidP="006B0CCA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03FC3">
        <w:rPr>
          <w:rFonts w:ascii="Times New Roman" w:eastAsia="Times New Roman" w:hAnsi="Times New Roman" w:cs="Times New Roman"/>
          <w:noProof/>
          <w:kern w:val="0"/>
          <w:lang w:eastAsia="en-GB"/>
        </w:rPr>
        <w:pict>
          <v:rect id="_x0000_i1029" alt="" style="width:451.3pt;height:.05pt;mso-width-percent:0;mso-height-percent:0;mso-width-percent:0;mso-height-percent:0" o:hralign="center" o:hrstd="t" o:hr="t" fillcolor="#a0a0a0" stroked="f"/>
        </w:pict>
      </w:r>
    </w:p>
    <w:p w:rsidR="006B0CCA" w:rsidRPr="006B0CCA" w:rsidRDefault="006B0CCA" w:rsidP="006B0CCA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6B0CC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1. Introduction</w:t>
      </w:r>
    </w:p>
    <w:p w:rsidR="006B0CCA" w:rsidRPr="006B0CCA" w:rsidRDefault="006B0CCA" w:rsidP="006B0CCA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0CC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Financial markets are driven not only by numerical data such as price and volume but also by </w:t>
      </w:r>
      <w:r w:rsidRPr="006B0CCA">
        <w:rPr>
          <w:rFonts w:ascii="Times New Roman" w:eastAsia="Times New Roman" w:hAnsi="Times New Roman" w:cs="Times New Roman"/>
          <w:i/>
          <w:iCs/>
          <w:kern w:val="0"/>
          <w:lang w:eastAsia="en-GB"/>
          <w14:ligatures w14:val="none"/>
        </w:rPr>
        <w:t>human psychology and public sentiment</w:t>
      </w:r>
      <w:r w:rsidRPr="006B0CC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  <w:r w:rsidRPr="006B0CC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 xml:space="preserve">Market participants’ emotions—optimism, fear, or uncertainty—often influence buying and selling behavior. Therefore, incorporating </w:t>
      </w:r>
      <w:r w:rsidRPr="006B0CCA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sentiment analysis</w:t>
      </w:r>
      <w:r w:rsidRPr="006B0CC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from financial text into predictive models has become an emerging research area within artificial intelligence and quantitative finance.</w:t>
      </w:r>
    </w:p>
    <w:p w:rsidR="006B0CCA" w:rsidRPr="006B0CCA" w:rsidRDefault="006B0CCA" w:rsidP="006B0CCA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0CC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This project extends a previous stock prediction model by integrating </w:t>
      </w:r>
      <w:r w:rsidRPr="006B0CCA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text-based sentiment features</w:t>
      </w:r>
      <w:r w:rsidRPr="006B0CC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derived from financial news articles. Using data from the </w:t>
      </w:r>
      <w:r w:rsidRPr="006B0CCA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Commonwealth Bank of Australia (CBA.AX)</w:t>
      </w:r>
      <w:r w:rsidRPr="006B0CC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the goal is to predict whether the next day’s closing price will </w:t>
      </w:r>
      <w:r w:rsidRPr="006B0CCA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rise (1)</w:t>
      </w:r>
      <w:r w:rsidRPr="006B0CC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or </w:t>
      </w:r>
      <w:r w:rsidRPr="006B0CCA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fall (0)</w:t>
      </w:r>
      <w:r w:rsidRPr="006B0CC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based on both historical market indicators and textual sentiment signals.</w:t>
      </w:r>
    </w:p>
    <w:p w:rsidR="006B0CCA" w:rsidRPr="006B0CCA" w:rsidRDefault="006B0CCA" w:rsidP="006B0CCA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0CC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The completed pipeline demonstrates how </w:t>
      </w:r>
      <w:r w:rsidRPr="006B0CCA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natural language processing (NLP)</w:t>
      </w:r>
      <w:r w:rsidRPr="006B0CC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and </w:t>
      </w:r>
      <w:r w:rsidRPr="006B0CCA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machine learning</w:t>
      </w:r>
      <w:r w:rsidRPr="006B0CC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can be effectively combined to enhance predictive modeling in finance. This work also evaluates the incremental benefit of sentiment information compared to a purely numerical baseline model.</w:t>
      </w:r>
    </w:p>
    <w:p w:rsidR="006B0CCA" w:rsidRPr="006B0CCA" w:rsidRDefault="00403FC3" w:rsidP="006B0CCA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03FC3">
        <w:rPr>
          <w:rFonts w:ascii="Times New Roman" w:eastAsia="Times New Roman" w:hAnsi="Times New Roman" w:cs="Times New Roman"/>
          <w:noProof/>
          <w:kern w:val="0"/>
          <w:lang w:eastAsia="en-GB"/>
        </w:rPr>
        <w:pict>
          <v:rect id="_x0000_i1028" alt="" style="width:451.3pt;height:.05pt;mso-width-percent:0;mso-height-percent:0;mso-width-percent:0;mso-height-percent:0" o:hralign="center" o:hrstd="t" o:hr="t" fillcolor="#a0a0a0" stroked="f"/>
        </w:pict>
      </w:r>
    </w:p>
    <w:p w:rsidR="006B0CCA" w:rsidRPr="006B0CCA" w:rsidRDefault="006B0CCA" w:rsidP="006B0CCA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6B0CC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 xml:space="preserve">2. Data Collection and Preprocessing </w:t>
      </w:r>
    </w:p>
    <w:p w:rsidR="006B0CCA" w:rsidRPr="006B0CCA" w:rsidRDefault="006B0CCA" w:rsidP="006B0CCA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6B0CC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2.1 Market Data</w:t>
      </w:r>
    </w:p>
    <w:p w:rsidR="006B0CCA" w:rsidRPr="006B0CCA" w:rsidRDefault="006B0CCA" w:rsidP="006B0CCA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0CC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Daily stock prices for </w:t>
      </w:r>
      <w:r w:rsidRPr="006B0CCA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CBA.AX</w:t>
      </w:r>
      <w:r w:rsidRPr="006B0CC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were obtained from </w:t>
      </w:r>
      <w:r w:rsidRPr="006B0CCA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Yahoo Finance</w:t>
      </w:r>
      <w:r w:rsidRPr="006B0CC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using the </w:t>
      </w:r>
      <w:r w:rsidRPr="006B0CC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yfinance</w:t>
      </w:r>
      <w:r w:rsidRPr="006B0CC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Python library, covering </w:t>
      </w:r>
      <w:r w:rsidRPr="006B0CCA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January 2020 to May 2023</w:t>
      </w:r>
      <w:r w:rsidRPr="006B0CC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 The dataset includes:</w:t>
      </w:r>
    </w:p>
    <w:p w:rsidR="006B0CCA" w:rsidRPr="006B0CCA" w:rsidRDefault="006B0CCA" w:rsidP="006B0CCA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0CCA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Open</w:t>
      </w:r>
      <w:r w:rsidRPr="006B0CC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– opening price of the stock each day</w:t>
      </w:r>
    </w:p>
    <w:p w:rsidR="006B0CCA" w:rsidRPr="006B0CCA" w:rsidRDefault="006B0CCA" w:rsidP="006B0CCA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0CCA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High / Low</w:t>
      </w:r>
      <w:r w:rsidRPr="006B0CC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– intraday maximum and minimum</w:t>
      </w:r>
    </w:p>
    <w:p w:rsidR="006B0CCA" w:rsidRPr="006B0CCA" w:rsidRDefault="006B0CCA" w:rsidP="006B0CCA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0CCA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Close</w:t>
      </w:r>
      <w:r w:rsidRPr="006B0CC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– adjusted daily closing price</w:t>
      </w:r>
    </w:p>
    <w:p w:rsidR="006B0CCA" w:rsidRPr="006B0CCA" w:rsidRDefault="006B0CCA" w:rsidP="006B0CCA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0CCA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Volume</w:t>
      </w:r>
      <w:r w:rsidRPr="006B0CC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– number of shares traded</w:t>
      </w:r>
    </w:p>
    <w:p w:rsidR="006B0CCA" w:rsidRPr="006B0CCA" w:rsidRDefault="006B0CCA" w:rsidP="006B0CCA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0CC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lastRenderedPageBreak/>
        <w:t>These features represent the core time-series inputs traditionally used in technical trading strategies.</w:t>
      </w:r>
    </w:p>
    <w:p w:rsidR="006B0CCA" w:rsidRPr="006B0CCA" w:rsidRDefault="006B0CCA" w:rsidP="006B0CCA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6B0CC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2.2 Textual Data</w:t>
      </w:r>
    </w:p>
    <w:p w:rsidR="006B0CCA" w:rsidRPr="006B0CCA" w:rsidRDefault="006B0CCA" w:rsidP="006B0CCA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0CC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Financial news headlines were gathered from publicly available online news APIs and cleaned to remove duplicates, non-English content, and timestamps outside trading hours. Each headline was processed using </w:t>
      </w:r>
      <w:r w:rsidRPr="006B0CCA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FinBERT</w:t>
      </w:r>
      <w:r w:rsidRPr="006B0CC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, a transformer-based model pre-trained on financial text (Araci, 2019).</w:t>
      </w:r>
      <w:r w:rsidRPr="006B0CC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>FinBERT outputs both:</w:t>
      </w:r>
    </w:p>
    <w:p w:rsidR="006B0CCA" w:rsidRPr="006B0CCA" w:rsidRDefault="006B0CCA" w:rsidP="006B0CCA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0CCA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finbert_label</w:t>
      </w:r>
      <w:r w:rsidRPr="006B0CC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→ categorical (Positive / Neutral / Negative)</w:t>
      </w:r>
    </w:p>
    <w:p w:rsidR="006B0CCA" w:rsidRPr="006B0CCA" w:rsidRDefault="006B0CCA" w:rsidP="006B0CCA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0CCA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finbert_score</w:t>
      </w:r>
      <w:r w:rsidRPr="006B0CC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→ confidence score in the range [0, 1].</w:t>
      </w:r>
    </w:p>
    <w:p w:rsidR="006B0CCA" w:rsidRPr="006B0CCA" w:rsidRDefault="006B0CCA" w:rsidP="006B0CCA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6B0CC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2.3 Alignment and Cleaning</w:t>
      </w:r>
    </w:p>
    <w:p w:rsidR="006B0CCA" w:rsidRPr="006B0CCA" w:rsidRDefault="006B0CCA" w:rsidP="006B0CCA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0CC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Because financial headlines occur irregularly and trading data is daily, the sentiment data was </w:t>
      </w:r>
      <w:r w:rsidRPr="006B0CCA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aggregated to a daily average</w:t>
      </w:r>
      <w:r w:rsidRPr="006B0CC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  <w:r w:rsidRPr="006B0CC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>Steps performed:</w:t>
      </w:r>
    </w:p>
    <w:p w:rsidR="006B0CCA" w:rsidRPr="006B0CCA" w:rsidRDefault="006B0CCA" w:rsidP="006B0CCA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0CC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Convert all timestamps to </w:t>
      </w:r>
      <w:r w:rsidRPr="006B0CC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datetime</w:t>
      </w:r>
      <w:r w:rsidRPr="006B0CC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objects using UTC time.</w:t>
      </w:r>
    </w:p>
    <w:p w:rsidR="006B0CCA" w:rsidRPr="006B0CCA" w:rsidRDefault="006B0CCA" w:rsidP="006B0CCA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0CC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Group by trading date and compute mean sentiment score.</w:t>
      </w:r>
    </w:p>
    <w:p w:rsidR="006B0CCA" w:rsidRPr="006B0CCA" w:rsidRDefault="006B0CCA" w:rsidP="006B0CCA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0CC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Remove non-trading days (weekends and public holidays).</w:t>
      </w:r>
    </w:p>
    <w:p w:rsidR="006B0CCA" w:rsidRPr="006B0CCA" w:rsidRDefault="006B0CCA" w:rsidP="006B0CCA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0CC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Merge with OHLCV stock data using the </w:t>
      </w:r>
      <w:r w:rsidRPr="006B0CC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Date</w:t>
      </w:r>
      <w:r w:rsidRPr="006B0CC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column.</w:t>
      </w:r>
    </w:p>
    <w:p w:rsidR="006B0CCA" w:rsidRPr="006B0CCA" w:rsidRDefault="006B0CCA" w:rsidP="006B0CCA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0CC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Handle missing values using a combination of </w:t>
      </w:r>
      <w:r w:rsidRPr="006B0CCA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forward-fill</w:t>
      </w:r>
      <w:r w:rsidRPr="006B0CC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r w:rsidRPr="006B0CCA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backward-fill</w:t>
      </w:r>
      <w:r w:rsidRPr="006B0CC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and </w:t>
      </w:r>
      <w:r w:rsidRPr="006B0CCA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mean imputation</w:t>
      </w:r>
      <w:r w:rsidRPr="006B0CC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p w:rsidR="006B0CCA" w:rsidRPr="006B0CCA" w:rsidRDefault="006B0CCA" w:rsidP="006B0CCA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0CC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Normalize numerical features using </w:t>
      </w:r>
      <w:r w:rsidRPr="006B0CC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MinMaxScaler</w:t>
      </w:r>
      <w:r w:rsidRPr="006B0CC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to [0, 1] for stable gradient performance during training.</w:t>
      </w:r>
    </w:p>
    <w:p w:rsidR="006B0CCA" w:rsidRPr="006B0CCA" w:rsidRDefault="006B0CCA" w:rsidP="006B0CCA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0CC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This preprocessing ensured temporal alignment and consistent scale across both structured (numerical) and unstructured (textual) data sources.</w:t>
      </w:r>
    </w:p>
    <w:p w:rsidR="006B0CCA" w:rsidRPr="006B0CCA" w:rsidRDefault="00403FC3" w:rsidP="006B0CCA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03FC3">
        <w:rPr>
          <w:rFonts w:ascii="Times New Roman" w:eastAsia="Times New Roman" w:hAnsi="Times New Roman" w:cs="Times New Roman"/>
          <w:noProof/>
          <w:kern w:val="0"/>
          <w:lang w:eastAsia="en-GB"/>
        </w:rPr>
        <w:pict>
          <v:rect id="_x0000_i1027" alt="" style="width:451.3pt;height:.05pt;mso-width-percent:0;mso-height-percent:0;mso-width-percent:0;mso-height-percent:0" o:hralign="center" o:hrstd="t" o:hr="t" fillcolor="#a0a0a0" stroked="f"/>
        </w:pict>
      </w:r>
    </w:p>
    <w:p w:rsidR="006B0CCA" w:rsidRPr="006B0CCA" w:rsidRDefault="006B0CCA" w:rsidP="006B0CCA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6B0CC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 xml:space="preserve">3. Sentiment Analysis </w:t>
      </w:r>
    </w:p>
    <w:p w:rsidR="006B0CCA" w:rsidRPr="006B0CCA" w:rsidRDefault="006B0CCA" w:rsidP="006B0CCA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6B0CC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3.1 FinBERT Application</w:t>
      </w:r>
    </w:p>
    <w:p w:rsidR="006B0CCA" w:rsidRPr="006B0CCA" w:rsidRDefault="006B0CCA" w:rsidP="006B0CCA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0CC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Each cleaned news headline was passed through the FinBERT model to obtain a sentiment label and probability.</w:t>
      </w:r>
      <w:r w:rsidRPr="006B0CC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>A custom function converted the categorical output into a binary score:</w:t>
      </w:r>
    </w:p>
    <w:p w:rsidR="006B0CCA" w:rsidRPr="006B0CCA" w:rsidRDefault="006B0CCA" w:rsidP="006B0C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0CC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df_news["sentiment"] = df_news["finbert_label"].apply(lambda x: 1 if x=="Positive" else 0)</w:t>
      </w:r>
    </w:p>
    <w:p w:rsidR="006B0CCA" w:rsidRDefault="006B0CCA" w:rsidP="006B0CCA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0CC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Positive news was assigned a value of </w:t>
      </w:r>
      <w:r w:rsidRPr="006B0CCA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1</w:t>
      </w:r>
      <w:r w:rsidRPr="006B0CC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and neutral or negative sentiment was assigned </w:t>
      </w:r>
      <w:r w:rsidRPr="006B0CCA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0</w:t>
      </w:r>
      <w:r w:rsidRPr="006B0CC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  <w:r w:rsidRPr="006B0CC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>Daily sentiment scores were averaged to reflect the prevailing tone of financial media for each trading day.</w:t>
      </w:r>
    </w:p>
    <w:p w:rsidR="00545D99" w:rsidRPr="006B0CCA" w:rsidRDefault="00545D99" w:rsidP="006B0CCA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  <w:lastRenderedPageBreak/>
        <w:drawing>
          <wp:inline distT="0" distB="0" distL="0" distR="0">
            <wp:extent cx="5731510" cy="3582035"/>
            <wp:effectExtent l="0" t="0" r="0" b="0"/>
            <wp:docPr id="9097422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742204" name="Picture 909742204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B0CCA" w:rsidRPr="006B0CCA" w:rsidRDefault="006B0CCA" w:rsidP="006B0CCA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6B0CC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3.2 Justification for FinBERT</w:t>
      </w:r>
    </w:p>
    <w:p w:rsidR="006B0CCA" w:rsidRPr="006B0CCA" w:rsidRDefault="006B0CCA" w:rsidP="006B0CCA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0CC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FinBERT was chosen over general-purpose sentiment tools such as </w:t>
      </w:r>
      <w:r w:rsidRPr="006B0CCA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VADER</w:t>
      </w:r>
      <w:r w:rsidRPr="006B0CC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or </w:t>
      </w:r>
      <w:r w:rsidRPr="006B0CCA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TextBlob</w:t>
      </w:r>
      <w:r w:rsidRPr="006B0CC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because:</w:t>
      </w:r>
    </w:p>
    <w:p w:rsidR="006B0CCA" w:rsidRPr="006B0CCA" w:rsidRDefault="006B0CCA" w:rsidP="006B0CCA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0CC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It is </w:t>
      </w:r>
      <w:r w:rsidRPr="006B0CCA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domain-adapted</w:t>
      </w:r>
      <w:r w:rsidRPr="006B0CC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to financial vocabulary (e.g., “bullish”, “profit warning”, “interest rate hike”).</w:t>
      </w:r>
    </w:p>
    <w:p w:rsidR="006B0CCA" w:rsidRPr="006B0CCA" w:rsidRDefault="006B0CCA" w:rsidP="006B0CCA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0CC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It captures </w:t>
      </w:r>
      <w:r w:rsidRPr="006B0CCA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contextual semantics</w:t>
      </w:r>
      <w:r w:rsidRPr="006B0CC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using the BERT attention mechanism.</w:t>
      </w:r>
    </w:p>
    <w:p w:rsidR="006B0CCA" w:rsidRPr="006B0CCA" w:rsidRDefault="006B0CCA" w:rsidP="006B0CCA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0CC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It has been empirically validated on datasets like Financial PhraseBank.</w:t>
      </w:r>
    </w:p>
    <w:p w:rsidR="006B0CCA" w:rsidRPr="006B0CCA" w:rsidRDefault="006B0CCA" w:rsidP="006B0CCA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0CC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resulting sentiment series effectively quantifies investor optimism or pessimism within each trading day and serves as an exogenous signal for the predictive models.</w:t>
      </w:r>
    </w:p>
    <w:p w:rsidR="006B0CCA" w:rsidRPr="006B0CCA" w:rsidRDefault="006B0CCA" w:rsidP="006B0CCA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:rsidR="006B0CCA" w:rsidRPr="006B0CCA" w:rsidRDefault="006B0CCA" w:rsidP="006B0CCA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6B0CC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 xml:space="preserve">4. Feature Engineering and Modelling </w:t>
      </w:r>
    </w:p>
    <w:p w:rsidR="006B0CCA" w:rsidRPr="006B0CCA" w:rsidRDefault="006B0CCA" w:rsidP="006B0CCA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6B0CC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4.1 Feature Construction</w:t>
      </w:r>
    </w:p>
    <w:p w:rsidR="006B0CCA" w:rsidRPr="006B0CCA" w:rsidRDefault="006B0CCA" w:rsidP="006B0CCA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0CC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To enhance model expressiveness, several </w:t>
      </w:r>
      <w:r w:rsidRPr="006B0CCA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technical indicators</w:t>
      </w:r>
      <w:r w:rsidRPr="006B0CC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were engineered:</w:t>
      </w:r>
    </w:p>
    <w:p w:rsidR="006B0CCA" w:rsidRPr="006B0CCA" w:rsidRDefault="006B0CCA" w:rsidP="006B0CCA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0CCA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SMA₅ and SMA₁₀:</w:t>
      </w:r>
      <w:r w:rsidRPr="006B0CC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Simple Moving Averages to represent short-term and medium-term trends.</w:t>
      </w:r>
    </w:p>
    <w:p w:rsidR="006B0CCA" w:rsidRPr="006B0CCA" w:rsidRDefault="006B0CCA" w:rsidP="006B0CCA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0CCA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RSI₁₄:</w:t>
      </w:r>
      <w:r w:rsidRPr="006B0CC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Relative Strength Index capturing market momentum.</w:t>
      </w:r>
    </w:p>
    <w:p w:rsidR="006B0CCA" w:rsidRPr="006B0CCA" w:rsidRDefault="006B0CCA" w:rsidP="006B0CCA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0CC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These indicators were computed directly from closing prices using the formula:</w:t>
      </w:r>
    </w:p>
    <w:p w:rsidR="006B0CCA" w:rsidRPr="006B0CCA" w:rsidRDefault="006B0CCA" w:rsidP="006B0CCA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0CC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lastRenderedPageBreak/>
        <w:t xml:space="preserve">RSI=100−1001+Avg GainAvg LossRSI = 100 - \frac{100}{1 + \frac{Avg\ Gain}{Avg\ Loss}}RSI=100−1+Avg LossAvg Gain​100​ </w:t>
      </w:r>
    </w:p>
    <w:p w:rsidR="006B0CCA" w:rsidRPr="006B0CCA" w:rsidRDefault="006B0CCA" w:rsidP="006B0CCA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0CC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They complement sentiment scores by reflecting internal market dynamics.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41"/>
        <w:gridCol w:w="3315"/>
      </w:tblGrid>
      <w:tr w:rsidR="006B0CCA" w:rsidRPr="006B0CCA" w:rsidTr="006B0CC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B0CCA" w:rsidRPr="006B0CCA" w:rsidRDefault="006B0CCA" w:rsidP="006B0CC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6B0CCA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:rsidR="006B0CCA" w:rsidRPr="006B0CCA" w:rsidRDefault="006B0CCA" w:rsidP="006B0CC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6B0CCA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Features Included</w:t>
            </w:r>
          </w:p>
        </w:tc>
      </w:tr>
      <w:tr w:rsidR="006B0CCA" w:rsidRPr="006B0CCA" w:rsidTr="006B0CCA">
        <w:trPr>
          <w:tblCellSpacing w:w="15" w:type="dxa"/>
        </w:trPr>
        <w:tc>
          <w:tcPr>
            <w:tcW w:w="0" w:type="auto"/>
            <w:vAlign w:val="center"/>
            <w:hideMark/>
          </w:tcPr>
          <w:p w:rsidR="006B0CCA" w:rsidRPr="006B0CCA" w:rsidRDefault="006B0CCA" w:rsidP="006B0CCA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0CCA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Price Data</w:t>
            </w:r>
          </w:p>
        </w:tc>
        <w:tc>
          <w:tcPr>
            <w:tcW w:w="0" w:type="auto"/>
            <w:vAlign w:val="center"/>
            <w:hideMark/>
          </w:tcPr>
          <w:p w:rsidR="006B0CCA" w:rsidRPr="006B0CCA" w:rsidRDefault="006B0CCA" w:rsidP="006B0CCA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0CCA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Open, High, Low, Close, Volume</w:t>
            </w:r>
          </w:p>
        </w:tc>
      </w:tr>
      <w:tr w:rsidR="006B0CCA" w:rsidRPr="006B0CCA" w:rsidTr="006B0CCA">
        <w:trPr>
          <w:tblCellSpacing w:w="15" w:type="dxa"/>
        </w:trPr>
        <w:tc>
          <w:tcPr>
            <w:tcW w:w="0" w:type="auto"/>
            <w:vAlign w:val="center"/>
            <w:hideMark/>
          </w:tcPr>
          <w:p w:rsidR="006B0CCA" w:rsidRPr="006B0CCA" w:rsidRDefault="006B0CCA" w:rsidP="006B0CCA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0CCA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Technical Indicators</w:t>
            </w:r>
          </w:p>
        </w:tc>
        <w:tc>
          <w:tcPr>
            <w:tcW w:w="0" w:type="auto"/>
            <w:vAlign w:val="center"/>
            <w:hideMark/>
          </w:tcPr>
          <w:p w:rsidR="006B0CCA" w:rsidRPr="006B0CCA" w:rsidRDefault="006B0CCA" w:rsidP="006B0CCA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0CCA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SMA₅, SMA₁₀, RSI₁₄</w:t>
            </w:r>
          </w:p>
        </w:tc>
      </w:tr>
      <w:tr w:rsidR="006B0CCA" w:rsidRPr="006B0CCA" w:rsidTr="006B0CCA">
        <w:trPr>
          <w:tblCellSpacing w:w="15" w:type="dxa"/>
        </w:trPr>
        <w:tc>
          <w:tcPr>
            <w:tcW w:w="0" w:type="auto"/>
            <w:vAlign w:val="center"/>
            <w:hideMark/>
          </w:tcPr>
          <w:p w:rsidR="006B0CCA" w:rsidRPr="006B0CCA" w:rsidRDefault="006B0CCA" w:rsidP="006B0CCA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0CCA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Sentiment</w:t>
            </w:r>
          </w:p>
        </w:tc>
        <w:tc>
          <w:tcPr>
            <w:tcW w:w="0" w:type="auto"/>
            <w:vAlign w:val="center"/>
            <w:hideMark/>
          </w:tcPr>
          <w:p w:rsidR="006B0CCA" w:rsidRPr="006B0CCA" w:rsidRDefault="006B0CCA" w:rsidP="006B0CCA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0CCA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Daily FinBERT Sentiment Score</w:t>
            </w:r>
          </w:p>
        </w:tc>
      </w:tr>
    </w:tbl>
    <w:p w:rsidR="006B0CCA" w:rsidRPr="006B0CCA" w:rsidRDefault="006B0CCA" w:rsidP="006B0CCA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0CC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The </w:t>
      </w:r>
      <w:r w:rsidRPr="006B0CCA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target variable</w:t>
      </w:r>
      <w:r w:rsidRPr="006B0CC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was defined as:</w:t>
      </w:r>
    </w:p>
    <w:p w:rsidR="006B0CCA" w:rsidRPr="006B0CCA" w:rsidRDefault="006B0CCA" w:rsidP="006B0CCA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0CC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Target={1,if Closet+1&gt;Closet0,otherwiseTarget = \begin{cases} 1, &amp; \text{if Close}_{t+1} &gt; \text{Close}_t \\ 0, &amp; \text{otherwise} \end{cases}Target={1,0,​if Closet+1​&gt;Closet​otherwise​ </w:t>
      </w:r>
    </w:p>
    <w:p w:rsidR="006B0CCA" w:rsidRPr="006B0CCA" w:rsidRDefault="006B0CCA" w:rsidP="006B0CCA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6B0CC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4.2 Model Development</w:t>
      </w:r>
    </w:p>
    <w:p w:rsidR="006B0CCA" w:rsidRPr="006B0CCA" w:rsidRDefault="006B0CCA" w:rsidP="006B0CCA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0CC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Four classification models were built and evaluated: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83"/>
        <w:gridCol w:w="2819"/>
        <w:gridCol w:w="3324"/>
      </w:tblGrid>
      <w:tr w:rsidR="006B0CCA" w:rsidRPr="006B0CCA" w:rsidTr="006B0CC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B0CCA" w:rsidRPr="006B0CCA" w:rsidRDefault="006B0CCA" w:rsidP="006B0CC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6B0CCA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Model</w:t>
            </w:r>
          </w:p>
        </w:tc>
        <w:tc>
          <w:tcPr>
            <w:tcW w:w="0" w:type="auto"/>
            <w:vAlign w:val="center"/>
            <w:hideMark/>
          </w:tcPr>
          <w:p w:rsidR="006B0CCA" w:rsidRPr="006B0CCA" w:rsidRDefault="006B0CCA" w:rsidP="006B0CC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6B0CCA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:rsidR="006B0CCA" w:rsidRPr="006B0CCA" w:rsidRDefault="006B0CCA" w:rsidP="006B0CC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6B0CCA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Objective</w:t>
            </w:r>
          </w:p>
        </w:tc>
      </w:tr>
      <w:tr w:rsidR="006B0CCA" w:rsidRPr="006B0CCA" w:rsidTr="006B0CCA">
        <w:trPr>
          <w:tblCellSpacing w:w="15" w:type="dxa"/>
        </w:trPr>
        <w:tc>
          <w:tcPr>
            <w:tcW w:w="0" w:type="auto"/>
            <w:vAlign w:val="center"/>
            <w:hideMark/>
          </w:tcPr>
          <w:p w:rsidR="006B0CCA" w:rsidRPr="006B0CCA" w:rsidRDefault="006B0CCA" w:rsidP="006B0CCA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0CCA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Logistic Regression (Baseline)</w:t>
            </w:r>
          </w:p>
        </w:tc>
        <w:tc>
          <w:tcPr>
            <w:tcW w:w="0" w:type="auto"/>
            <w:vAlign w:val="center"/>
            <w:hideMark/>
          </w:tcPr>
          <w:p w:rsidR="006B0CCA" w:rsidRPr="006B0CCA" w:rsidRDefault="006B0CCA" w:rsidP="006B0CCA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0CCA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Uses only OHLCV features</w:t>
            </w:r>
          </w:p>
        </w:tc>
        <w:tc>
          <w:tcPr>
            <w:tcW w:w="0" w:type="auto"/>
            <w:vAlign w:val="center"/>
            <w:hideMark/>
          </w:tcPr>
          <w:p w:rsidR="006B0CCA" w:rsidRPr="006B0CCA" w:rsidRDefault="006B0CCA" w:rsidP="006B0CCA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0CCA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Establish reference accuracy</w:t>
            </w:r>
          </w:p>
        </w:tc>
      </w:tr>
      <w:tr w:rsidR="006B0CCA" w:rsidRPr="006B0CCA" w:rsidTr="006B0CCA">
        <w:trPr>
          <w:tblCellSpacing w:w="15" w:type="dxa"/>
        </w:trPr>
        <w:tc>
          <w:tcPr>
            <w:tcW w:w="0" w:type="auto"/>
            <w:vAlign w:val="center"/>
            <w:hideMark/>
          </w:tcPr>
          <w:p w:rsidR="006B0CCA" w:rsidRPr="006B0CCA" w:rsidRDefault="006B0CCA" w:rsidP="006B0CCA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0CCA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Logistic + Sentiment</w:t>
            </w:r>
          </w:p>
        </w:tc>
        <w:tc>
          <w:tcPr>
            <w:tcW w:w="0" w:type="auto"/>
            <w:vAlign w:val="center"/>
            <w:hideMark/>
          </w:tcPr>
          <w:p w:rsidR="006B0CCA" w:rsidRPr="006B0CCA" w:rsidRDefault="006B0CCA" w:rsidP="006B0CCA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0CCA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Adds sentiment variable</w:t>
            </w:r>
          </w:p>
        </w:tc>
        <w:tc>
          <w:tcPr>
            <w:tcW w:w="0" w:type="auto"/>
            <w:vAlign w:val="center"/>
            <w:hideMark/>
          </w:tcPr>
          <w:p w:rsidR="006B0CCA" w:rsidRPr="006B0CCA" w:rsidRDefault="006B0CCA" w:rsidP="006B0CCA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0CCA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Evaluate text impact</w:t>
            </w:r>
          </w:p>
        </w:tc>
      </w:tr>
      <w:tr w:rsidR="006B0CCA" w:rsidRPr="006B0CCA" w:rsidTr="006B0CCA">
        <w:trPr>
          <w:tblCellSpacing w:w="15" w:type="dxa"/>
        </w:trPr>
        <w:tc>
          <w:tcPr>
            <w:tcW w:w="0" w:type="auto"/>
            <w:vAlign w:val="center"/>
            <w:hideMark/>
          </w:tcPr>
          <w:p w:rsidR="006B0CCA" w:rsidRPr="006B0CCA" w:rsidRDefault="006B0CCA" w:rsidP="006B0CCA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0CCA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Random Forest Classifier</w:t>
            </w:r>
          </w:p>
        </w:tc>
        <w:tc>
          <w:tcPr>
            <w:tcW w:w="0" w:type="auto"/>
            <w:vAlign w:val="center"/>
            <w:hideMark/>
          </w:tcPr>
          <w:p w:rsidR="006B0CCA" w:rsidRPr="006B0CCA" w:rsidRDefault="006B0CCA" w:rsidP="006B0CCA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0CCA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Ensemble of 200 decision trees</w:t>
            </w:r>
          </w:p>
        </w:tc>
        <w:tc>
          <w:tcPr>
            <w:tcW w:w="0" w:type="auto"/>
            <w:vAlign w:val="center"/>
            <w:hideMark/>
          </w:tcPr>
          <w:p w:rsidR="006B0CCA" w:rsidRPr="006B0CCA" w:rsidRDefault="006B0CCA" w:rsidP="006B0CCA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0CCA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Capture nonlinear relationships</w:t>
            </w:r>
          </w:p>
        </w:tc>
      </w:tr>
      <w:tr w:rsidR="006B0CCA" w:rsidRPr="006B0CCA" w:rsidTr="006B0CCA">
        <w:trPr>
          <w:tblCellSpacing w:w="15" w:type="dxa"/>
        </w:trPr>
        <w:tc>
          <w:tcPr>
            <w:tcW w:w="0" w:type="auto"/>
            <w:vAlign w:val="center"/>
            <w:hideMark/>
          </w:tcPr>
          <w:p w:rsidR="006B0CCA" w:rsidRPr="006B0CCA" w:rsidRDefault="006B0CCA" w:rsidP="006B0CCA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0CCA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XGBoost Classifier</w:t>
            </w:r>
          </w:p>
        </w:tc>
        <w:tc>
          <w:tcPr>
            <w:tcW w:w="0" w:type="auto"/>
            <w:vAlign w:val="center"/>
            <w:hideMark/>
          </w:tcPr>
          <w:p w:rsidR="006B0CCA" w:rsidRPr="006B0CCA" w:rsidRDefault="006B0CCA" w:rsidP="006B0CCA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0CCA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300 boosting rounds</w:t>
            </w:r>
          </w:p>
        </w:tc>
        <w:tc>
          <w:tcPr>
            <w:tcW w:w="0" w:type="auto"/>
            <w:vAlign w:val="center"/>
            <w:hideMark/>
          </w:tcPr>
          <w:p w:rsidR="006B0CCA" w:rsidRPr="006B0CCA" w:rsidRDefault="006B0CCA" w:rsidP="006B0CCA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0CCA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Improve gradient-based optimization</w:t>
            </w:r>
          </w:p>
        </w:tc>
      </w:tr>
    </w:tbl>
    <w:p w:rsidR="006B0CCA" w:rsidRPr="006B0CCA" w:rsidRDefault="006B0CCA" w:rsidP="006B0CCA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0CC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Training and testing splits were chronological (80% train / 20% test) to prevent data leakage across time.</w:t>
      </w:r>
    </w:p>
    <w:p w:rsidR="006B0CCA" w:rsidRPr="006B0CCA" w:rsidRDefault="006B0CCA" w:rsidP="006B0CCA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0CC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These models were chosen for their balance between interpretability (Logistic) and predictive performance (Random Forest / XGBoost).</w:t>
      </w:r>
    </w:p>
    <w:p w:rsidR="006B0CCA" w:rsidRPr="006B0CCA" w:rsidRDefault="00403FC3" w:rsidP="006B0CCA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03FC3">
        <w:rPr>
          <w:rFonts w:ascii="Times New Roman" w:eastAsia="Times New Roman" w:hAnsi="Times New Roman" w:cs="Times New Roman"/>
          <w:noProof/>
          <w:kern w:val="0"/>
          <w:lang w:eastAsia="en-GB"/>
        </w:rPr>
        <w:pict>
          <v:rect id="_x0000_i1026" alt="" style="width:451.3pt;height:.05pt;mso-width-percent:0;mso-height-percent:0;mso-width-percent:0;mso-height-percent:0" o:hralign="center" o:hrstd="t" o:hr="t" fillcolor="#a0a0a0" stroked="f"/>
        </w:pict>
      </w:r>
    </w:p>
    <w:p w:rsidR="006B0CCA" w:rsidRPr="006B0CCA" w:rsidRDefault="006B0CCA" w:rsidP="006B0CCA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6B0CC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 xml:space="preserve">5. Evaluation and Results </w:t>
      </w:r>
    </w:p>
    <w:p w:rsidR="006B0CCA" w:rsidRPr="006B0CCA" w:rsidRDefault="006B0CCA" w:rsidP="006B0CCA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6B0CC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5.1 Metrics Used</w:t>
      </w:r>
    </w:p>
    <w:p w:rsidR="006B0CCA" w:rsidRPr="006B0CCA" w:rsidRDefault="006B0CCA" w:rsidP="006B0CCA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0CC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Each model was evaluated using:</w:t>
      </w:r>
    </w:p>
    <w:p w:rsidR="006B0CCA" w:rsidRPr="006B0CCA" w:rsidRDefault="006B0CCA" w:rsidP="006B0CCA">
      <w:pPr>
        <w:numPr>
          <w:ilvl w:val="0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0CCA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Accuracy</w:t>
      </w:r>
    </w:p>
    <w:p w:rsidR="006B0CCA" w:rsidRPr="006B0CCA" w:rsidRDefault="006B0CCA" w:rsidP="006B0CCA">
      <w:pPr>
        <w:numPr>
          <w:ilvl w:val="0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0CCA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Precision</w:t>
      </w:r>
    </w:p>
    <w:p w:rsidR="006B0CCA" w:rsidRPr="006B0CCA" w:rsidRDefault="006B0CCA" w:rsidP="006B0CCA">
      <w:pPr>
        <w:numPr>
          <w:ilvl w:val="0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0CCA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Recall</w:t>
      </w:r>
    </w:p>
    <w:p w:rsidR="006B0CCA" w:rsidRPr="006B0CCA" w:rsidRDefault="006B0CCA" w:rsidP="006B0CCA">
      <w:pPr>
        <w:numPr>
          <w:ilvl w:val="0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0CCA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F1-score</w:t>
      </w:r>
    </w:p>
    <w:p w:rsidR="006B0CCA" w:rsidRPr="006B0CCA" w:rsidRDefault="006B0CCA" w:rsidP="006B0CCA">
      <w:pPr>
        <w:numPr>
          <w:ilvl w:val="0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0CCA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lastRenderedPageBreak/>
        <w:t>Confusion Matrix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1"/>
        <w:gridCol w:w="1787"/>
        <w:gridCol w:w="2170"/>
        <w:gridCol w:w="1654"/>
        <w:gridCol w:w="1009"/>
      </w:tblGrid>
      <w:tr w:rsidR="006B0CCA" w:rsidRPr="006B0CCA" w:rsidTr="006B0CC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B0CCA" w:rsidRPr="006B0CCA" w:rsidRDefault="006B0CCA" w:rsidP="006B0CC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6B0CCA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Metric</w:t>
            </w:r>
          </w:p>
        </w:tc>
        <w:tc>
          <w:tcPr>
            <w:tcW w:w="0" w:type="auto"/>
            <w:vAlign w:val="center"/>
            <w:hideMark/>
          </w:tcPr>
          <w:p w:rsidR="006B0CCA" w:rsidRPr="006B0CCA" w:rsidRDefault="006B0CCA" w:rsidP="006B0CC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6B0CCA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Baseline Logistic</w:t>
            </w:r>
          </w:p>
        </w:tc>
        <w:tc>
          <w:tcPr>
            <w:tcW w:w="0" w:type="auto"/>
            <w:vAlign w:val="center"/>
            <w:hideMark/>
          </w:tcPr>
          <w:p w:rsidR="006B0CCA" w:rsidRPr="006B0CCA" w:rsidRDefault="006B0CCA" w:rsidP="006B0CC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6B0CCA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Logistic + Sentiment</w:t>
            </w:r>
          </w:p>
        </w:tc>
        <w:tc>
          <w:tcPr>
            <w:tcW w:w="0" w:type="auto"/>
            <w:vAlign w:val="center"/>
            <w:hideMark/>
          </w:tcPr>
          <w:p w:rsidR="006B0CCA" w:rsidRPr="006B0CCA" w:rsidRDefault="006B0CCA" w:rsidP="006B0CC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6B0CCA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Random Forest</w:t>
            </w:r>
          </w:p>
        </w:tc>
        <w:tc>
          <w:tcPr>
            <w:tcW w:w="0" w:type="auto"/>
            <w:vAlign w:val="center"/>
            <w:hideMark/>
          </w:tcPr>
          <w:p w:rsidR="006B0CCA" w:rsidRPr="006B0CCA" w:rsidRDefault="006B0CCA" w:rsidP="006B0CC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6B0CCA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XGBoost</w:t>
            </w:r>
          </w:p>
        </w:tc>
      </w:tr>
      <w:tr w:rsidR="006B0CCA" w:rsidRPr="006B0CCA" w:rsidTr="006B0CCA">
        <w:trPr>
          <w:tblCellSpacing w:w="15" w:type="dxa"/>
        </w:trPr>
        <w:tc>
          <w:tcPr>
            <w:tcW w:w="0" w:type="auto"/>
            <w:vAlign w:val="center"/>
            <w:hideMark/>
          </w:tcPr>
          <w:p w:rsidR="006B0CCA" w:rsidRPr="006B0CCA" w:rsidRDefault="006B0CCA" w:rsidP="006B0CCA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0CCA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Precision</w:t>
            </w:r>
          </w:p>
        </w:tc>
        <w:tc>
          <w:tcPr>
            <w:tcW w:w="0" w:type="auto"/>
            <w:vAlign w:val="center"/>
            <w:hideMark/>
          </w:tcPr>
          <w:p w:rsidR="006B0CCA" w:rsidRPr="006B0CCA" w:rsidRDefault="006B0CCA" w:rsidP="006B0CCA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0CCA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0.427</w:t>
            </w:r>
          </w:p>
        </w:tc>
        <w:tc>
          <w:tcPr>
            <w:tcW w:w="0" w:type="auto"/>
            <w:vAlign w:val="center"/>
            <w:hideMark/>
          </w:tcPr>
          <w:p w:rsidR="006B0CCA" w:rsidRPr="006B0CCA" w:rsidRDefault="006B0CCA" w:rsidP="006B0CCA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0CCA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0.427</w:t>
            </w:r>
          </w:p>
        </w:tc>
        <w:tc>
          <w:tcPr>
            <w:tcW w:w="0" w:type="auto"/>
            <w:vAlign w:val="center"/>
            <w:hideMark/>
          </w:tcPr>
          <w:p w:rsidR="006B0CCA" w:rsidRPr="006B0CCA" w:rsidRDefault="006B0CCA" w:rsidP="006B0CCA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0CCA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0.565</w:t>
            </w:r>
          </w:p>
        </w:tc>
        <w:tc>
          <w:tcPr>
            <w:tcW w:w="0" w:type="auto"/>
            <w:vAlign w:val="center"/>
            <w:hideMark/>
          </w:tcPr>
          <w:p w:rsidR="006B0CCA" w:rsidRPr="006B0CCA" w:rsidRDefault="006B0CCA" w:rsidP="006B0CCA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0CCA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0.555</w:t>
            </w:r>
          </w:p>
        </w:tc>
      </w:tr>
      <w:tr w:rsidR="006B0CCA" w:rsidRPr="006B0CCA" w:rsidTr="006B0CCA">
        <w:trPr>
          <w:tblCellSpacing w:w="15" w:type="dxa"/>
        </w:trPr>
        <w:tc>
          <w:tcPr>
            <w:tcW w:w="0" w:type="auto"/>
            <w:vAlign w:val="center"/>
            <w:hideMark/>
          </w:tcPr>
          <w:p w:rsidR="006B0CCA" w:rsidRPr="006B0CCA" w:rsidRDefault="006B0CCA" w:rsidP="006B0CCA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0CCA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Recall</w:t>
            </w:r>
          </w:p>
        </w:tc>
        <w:tc>
          <w:tcPr>
            <w:tcW w:w="0" w:type="auto"/>
            <w:vAlign w:val="center"/>
            <w:hideMark/>
          </w:tcPr>
          <w:p w:rsidR="006B0CCA" w:rsidRPr="006B0CCA" w:rsidRDefault="006B0CCA" w:rsidP="006B0CCA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0CCA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0.490</w:t>
            </w:r>
          </w:p>
        </w:tc>
        <w:tc>
          <w:tcPr>
            <w:tcW w:w="0" w:type="auto"/>
            <w:vAlign w:val="center"/>
            <w:hideMark/>
          </w:tcPr>
          <w:p w:rsidR="006B0CCA" w:rsidRPr="006B0CCA" w:rsidRDefault="006B0CCA" w:rsidP="006B0CCA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0CCA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0.490</w:t>
            </w:r>
          </w:p>
        </w:tc>
        <w:tc>
          <w:tcPr>
            <w:tcW w:w="0" w:type="auto"/>
            <w:vAlign w:val="center"/>
            <w:hideMark/>
          </w:tcPr>
          <w:p w:rsidR="006B0CCA" w:rsidRPr="006B0CCA" w:rsidRDefault="006B0CCA" w:rsidP="006B0CCA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0CCA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0.557</w:t>
            </w:r>
          </w:p>
        </w:tc>
        <w:tc>
          <w:tcPr>
            <w:tcW w:w="0" w:type="auto"/>
            <w:vAlign w:val="center"/>
            <w:hideMark/>
          </w:tcPr>
          <w:p w:rsidR="006B0CCA" w:rsidRPr="006B0CCA" w:rsidRDefault="006B0CCA" w:rsidP="006B0CCA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0CCA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0.550</w:t>
            </w:r>
          </w:p>
        </w:tc>
      </w:tr>
      <w:tr w:rsidR="006B0CCA" w:rsidRPr="006B0CCA" w:rsidTr="006B0CCA">
        <w:trPr>
          <w:tblCellSpacing w:w="15" w:type="dxa"/>
        </w:trPr>
        <w:tc>
          <w:tcPr>
            <w:tcW w:w="0" w:type="auto"/>
            <w:vAlign w:val="center"/>
            <w:hideMark/>
          </w:tcPr>
          <w:p w:rsidR="006B0CCA" w:rsidRPr="006B0CCA" w:rsidRDefault="006B0CCA" w:rsidP="006B0CCA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0CCA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F1-Score</w:t>
            </w:r>
          </w:p>
        </w:tc>
        <w:tc>
          <w:tcPr>
            <w:tcW w:w="0" w:type="auto"/>
            <w:vAlign w:val="center"/>
            <w:hideMark/>
          </w:tcPr>
          <w:p w:rsidR="006B0CCA" w:rsidRPr="006B0CCA" w:rsidRDefault="006B0CCA" w:rsidP="006B0CCA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0CCA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0.359</w:t>
            </w:r>
          </w:p>
        </w:tc>
        <w:tc>
          <w:tcPr>
            <w:tcW w:w="0" w:type="auto"/>
            <w:vAlign w:val="center"/>
            <w:hideMark/>
          </w:tcPr>
          <w:p w:rsidR="006B0CCA" w:rsidRPr="006B0CCA" w:rsidRDefault="006B0CCA" w:rsidP="006B0CCA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0CCA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0.359</w:t>
            </w:r>
          </w:p>
        </w:tc>
        <w:tc>
          <w:tcPr>
            <w:tcW w:w="0" w:type="auto"/>
            <w:vAlign w:val="center"/>
            <w:hideMark/>
          </w:tcPr>
          <w:p w:rsidR="006B0CCA" w:rsidRPr="006B0CCA" w:rsidRDefault="006B0CCA" w:rsidP="006B0CCA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0CCA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0.536</w:t>
            </w:r>
          </w:p>
        </w:tc>
        <w:tc>
          <w:tcPr>
            <w:tcW w:w="0" w:type="auto"/>
            <w:vAlign w:val="center"/>
            <w:hideMark/>
          </w:tcPr>
          <w:p w:rsidR="006B0CCA" w:rsidRPr="006B0CCA" w:rsidRDefault="006B0CCA" w:rsidP="006B0CCA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0CCA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0.534</w:t>
            </w:r>
          </w:p>
        </w:tc>
      </w:tr>
      <w:tr w:rsidR="006B0CCA" w:rsidRPr="006B0CCA" w:rsidTr="006B0CCA">
        <w:trPr>
          <w:tblCellSpacing w:w="15" w:type="dxa"/>
        </w:trPr>
        <w:tc>
          <w:tcPr>
            <w:tcW w:w="0" w:type="auto"/>
            <w:vAlign w:val="center"/>
            <w:hideMark/>
          </w:tcPr>
          <w:p w:rsidR="006B0CCA" w:rsidRPr="006B0CCA" w:rsidRDefault="006B0CCA" w:rsidP="006B0CCA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0CCA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Accuracy (approx.)</w:t>
            </w:r>
          </w:p>
        </w:tc>
        <w:tc>
          <w:tcPr>
            <w:tcW w:w="0" w:type="auto"/>
            <w:vAlign w:val="center"/>
            <w:hideMark/>
          </w:tcPr>
          <w:p w:rsidR="006B0CCA" w:rsidRPr="006B0CCA" w:rsidRDefault="006B0CCA" w:rsidP="006B0CCA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0CCA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0.51</w:t>
            </w:r>
          </w:p>
        </w:tc>
        <w:tc>
          <w:tcPr>
            <w:tcW w:w="0" w:type="auto"/>
            <w:vAlign w:val="center"/>
            <w:hideMark/>
          </w:tcPr>
          <w:p w:rsidR="006B0CCA" w:rsidRPr="006B0CCA" w:rsidRDefault="006B0CCA" w:rsidP="006B0CCA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0CCA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0.51</w:t>
            </w:r>
          </w:p>
        </w:tc>
        <w:tc>
          <w:tcPr>
            <w:tcW w:w="0" w:type="auto"/>
            <w:vAlign w:val="center"/>
            <w:hideMark/>
          </w:tcPr>
          <w:p w:rsidR="006B0CCA" w:rsidRPr="006B0CCA" w:rsidRDefault="006B0CCA" w:rsidP="006B0CCA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0CCA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0.55</w:t>
            </w:r>
          </w:p>
        </w:tc>
        <w:tc>
          <w:tcPr>
            <w:tcW w:w="0" w:type="auto"/>
            <w:vAlign w:val="center"/>
            <w:hideMark/>
          </w:tcPr>
          <w:p w:rsidR="006B0CCA" w:rsidRPr="006B0CCA" w:rsidRDefault="006B0CCA" w:rsidP="006B0CCA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0CCA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0.54</w:t>
            </w:r>
          </w:p>
        </w:tc>
      </w:tr>
    </w:tbl>
    <w:p w:rsidR="00545D99" w:rsidRDefault="00545D99" w:rsidP="00545D99">
      <w:pPr>
        <w:spacing w:before="100" w:beforeAutospacing="1" w:after="100" w:afterAutospacing="1"/>
        <w:jc w:val="center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noProof/>
          <w:kern w:val="0"/>
          <w:sz w:val="27"/>
          <w:szCs w:val="27"/>
          <w:lang w:eastAsia="en-GB"/>
        </w:rPr>
        <w:drawing>
          <wp:inline distT="0" distB="0" distL="0" distR="0">
            <wp:extent cx="3170060" cy="1981200"/>
            <wp:effectExtent l="0" t="0" r="5080" b="0"/>
            <wp:docPr id="114142773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427738" name="Picture 1141427738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25656" cy="20159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5D99" w:rsidRDefault="00545D99" w:rsidP="00545D99">
      <w:pPr>
        <w:spacing w:before="100" w:beforeAutospacing="1" w:after="100" w:afterAutospacing="1"/>
        <w:jc w:val="center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noProof/>
          <w:kern w:val="0"/>
          <w:sz w:val="27"/>
          <w:szCs w:val="27"/>
          <w:lang w:eastAsia="en-GB"/>
        </w:rPr>
        <w:drawing>
          <wp:inline distT="0" distB="0" distL="0" distR="0">
            <wp:extent cx="3259244" cy="2036939"/>
            <wp:effectExtent l="0" t="0" r="5080" b="0"/>
            <wp:docPr id="163512305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5123055" name="Picture 1635123055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82912" cy="20517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5D99" w:rsidRDefault="00545D99" w:rsidP="00545D99">
      <w:pPr>
        <w:spacing w:before="100" w:beforeAutospacing="1" w:after="100" w:afterAutospacing="1"/>
        <w:jc w:val="center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noProof/>
          <w:kern w:val="0"/>
          <w:sz w:val="27"/>
          <w:szCs w:val="27"/>
          <w:lang w:eastAsia="en-GB"/>
        </w:rPr>
        <w:drawing>
          <wp:inline distT="0" distB="0" distL="0" distR="0" wp14:anchorId="1A8B1DEE" wp14:editId="660802CF">
            <wp:extent cx="3224249" cy="2015066"/>
            <wp:effectExtent l="0" t="0" r="1905" b="4445"/>
            <wp:docPr id="198234232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342321" name="Picture 1982342321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84368" cy="2115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5D99" w:rsidRDefault="00545D99" w:rsidP="00545D99">
      <w:pPr>
        <w:spacing w:before="100" w:beforeAutospacing="1" w:after="100" w:afterAutospacing="1"/>
        <w:jc w:val="center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noProof/>
          <w:kern w:val="0"/>
          <w:sz w:val="27"/>
          <w:szCs w:val="27"/>
          <w:lang w:eastAsia="en-GB"/>
        </w:rPr>
        <w:lastRenderedPageBreak/>
        <w:drawing>
          <wp:inline distT="0" distB="0" distL="0" distR="0">
            <wp:extent cx="3061682" cy="1913467"/>
            <wp:effectExtent l="0" t="0" r="0" b="4445"/>
            <wp:docPr id="121485243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4852432" name="Picture 1214852432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1182" cy="1956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B0CCA" w:rsidRPr="006B0CCA" w:rsidRDefault="006B0CCA" w:rsidP="00CC5C4F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6B0CC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5.2 Confusion Matrix Analysis</w:t>
      </w:r>
    </w:p>
    <w:p w:rsidR="00CC5C4F" w:rsidRDefault="00545D99" w:rsidP="00545D99">
      <w:pPr>
        <w:spacing w:before="100" w:beforeAutospacing="1" w:after="100" w:afterAutospacing="1"/>
        <w:jc w:val="center"/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noProof/>
          <w:kern w:val="0"/>
          <w:lang w:eastAsia="en-GB"/>
        </w:rPr>
        <w:drawing>
          <wp:inline distT="0" distB="0" distL="0" distR="0">
            <wp:extent cx="3717483" cy="2323324"/>
            <wp:effectExtent l="0" t="0" r="3810" b="1270"/>
            <wp:docPr id="164185729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1857290" name="Picture 1641857290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8215" cy="2336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B0CCA" w:rsidRPr="006B0CCA" w:rsidRDefault="006B0CCA" w:rsidP="00CC5C4F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0CCA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Observations:</w:t>
      </w:r>
    </w:p>
    <w:p w:rsidR="006B0CCA" w:rsidRPr="006B0CCA" w:rsidRDefault="006B0CCA" w:rsidP="006B0CCA">
      <w:pPr>
        <w:numPr>
          <w:ilvl w:val="0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0CC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Logistic models showed heavy bias towards predicting </w:t>
      </w:r>
      <w:r w:rsidRPr="006B0CCA">
        <w:rPr>
          <w:rFonts w:ascii="Times New Roman" w:eastAsia="Times New Roman" w:hAnsi="Times New Roman" w:cs="Times New Roman"/>
          <w:i/>
          <w:iCs/>
          <w:kern w:val="0"/>
          <w:lang w:eastAsia="en-GB"/>
          <w14:ligatures w14:val="none"/>
        </w:rPr>
        <w:t>upward</w:t>
      </w:r>
      <w:r w:rsidRPr="006B0CC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price movements (class 1).</w:t>
      </w:r>
    </w:p>
    <w:p w:rsidR="006B0CCA" w:rsidRPr="006B0CCA" w:rsidRDefault="006B0CCA" w:rsidP="006B0CCA">
      <w:pPr>
        <w:numPr>
          <w:ilvl w:val="0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0CC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Adding sentiment to Logistic Regression did not significantly change performance, indicating that the relationship between sentiment and price direction is nonlinear.</w:t>
      </w:r>
    </w:p>
    <w:p w:rsidR="006B0CCA" w:rsidRPr="006B0CCA" w:rsidRDefault="006B0CCA" w:rsidP="006B0CCA">
      <w:pPr>
        <w:numPr>
          <w:ilvl w:val="0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0CC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Random Forest and XGBoost achieved higher precision and better balance between predicted classes.</w:t>
      </w:r>
    </w:p>
    <w:p w:rsidR="006B0CCA" w:rsidRPr="006B0CCA" w:rsidRDefault="006B0CCA" w:rsidP="006B0CCA">
      <w:pPr>
        <w:numPr>
          <w:ilvl w:val="0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0CC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Ensemble models generalized better by capturing complex interactions between sentiment, volume, and historical price patterns.</w:t>
      </w:r>
    </w:p>
    <w:p w:rsidR="006B0CCA" w:rsidRPr="006B0CCA" w:rsidRDefault="006B0CCA" w:rsidP="006B0CCA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6B0CC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5.3 Key Insights</w:t>
      </w:r>
    </w:p>
    <w:p w:rsidR="006B0CCA" w:rsidRPr="006B0CCA" w:rsidRDefault="006B0CCA" w:rsidP="006B0CCA">
      <w:pPr>
        <w:numPr>
          <w:ilvl w:val="0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0CCA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Sentiment alone</w:t>
      </w:r>
      <w:r w:rsidRPr="006B0CC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provides marginal linear benefit but becomes powerful when combined with nonlinear ensemble learners.</w:t>
      </w:r>
    </w:p>
    <w:p w:rsidR="006B0CCA" w:rsidRPr="006B0CCA" w:rsidRDefault="006B0CCA" w:rsidP="006B0CCA">
      <w:pPr>
        <w:numPr>
          <w:ilvl w:val="0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0CCA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Model interpretability:</w:t>
      </w:r>
      <w:r w:rsidRPr="006B0CC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Logistic regression aids transparency, while XGBoost offers stronger predictive strength.</w:t>
      </w:r>
    </w:p>
    <w:p w:rsidR="006B0CCA" w:rsidRPr="006B0CCA" w:rsidRDefault="006B0CCA" w:rsidP="006B0CCA">
      <w:pPr>
        <w:numPr>
          <w:ilvl w:val="0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0CCA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Practical implication:</w:t>
      </w:r>
      <w:r w:rsidRPr="006B0CC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Media tone affects short-term market fluctuations but may require sequence modeling (LSTM) for temporal dependencies.</w:t>
      </w:r>
    </w:p>
    <w:p w:rsidR="006B0CCA" w:rsidRDefault="006B0CCA" w:rsidP="006B0CCA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:rsidR="00CC5C4F" w:rsidRPr="006B0CCA" w:rsidRDefault="00CC5C4F" w:rsidP="006B0CCA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:rsidR="006B0CCA" w:rsidRPr="006B0CCA" w:rsidRDefault="006B0CCA" w:rsidP="006B0CCA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6B0CC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lastRenderedPageBreak/>
        <w:t>6. Independent Research Component (5 Marks)</w:t>
      </w:r>
    </w:p>
    <w:p w:rsidR="006B0CCA" w:rsidRPr="006B0CCA" w:rsidRDefault="006B0CCA" w:rsidP="006B0CCA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0CC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Beyond basic requirements, the project integrated </w:t>
      </w:r>
      <w:r w:rsidRPr="006B0CCA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technical analysis indicators</w:t>
      </w:r>
      <w:r w:rsidRPr="006B0CC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(SMA and RSI) alongside FinBERT sentiment to create a hybrid feature space combining:</w:t>
      </w:r>
    </w:p>
    <w:p w:rsidR="006B0CCA" w:rsidRPr="006B0CCA" w:rsidRDefault="006B0CCA" w:rsidP="006B0CCA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0CCA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Market Microstructure (price and volume)</w:t>
      </w:r>
    </w:p>
    <w:p w:rsidR="006B0CCA" w:rsidRPr="006B0CCA" w:rsidRDefault="006B0CCA" w:rsidP="006B0CCA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0CCA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Psychological Factors (sentiment)</w:t>
      </w:r>
    </w:p>
    <w:p w:rsidR="006B0CCA" w:rsidRPr="006B0CCA" w:rsidRDefault="006B0CCA" w:rsidP="006B0CCA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0CCA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Momentum Indicators (RSI, SMA)</w:t>
      </w:r>
    </w:p>
    <w:p w:rsidR="006B0CCA" w:rsidRPr="006B0CCA" w:rsidRDefault="006B0CCA" w:rsidP="006B0CCA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0CC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This approach reflects modern algorithmic-trading architectures that merge quantitative and qualitative features.</w:t>
      </w:r>
    </w:p>
    <w:p w:rsidR="006B0CCA" w:rsidRPr="006B0CCA" w:rsidRDefault="006B0CCA" w:rsidP="006B0CCA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6B0CC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Potential Extensions</w:t>
      </w:r>
    </w:p>
    <w:p w:rsidR="006B0CCA" w:rsidRPr="006B0CCA" w:rsidRDefault="006B0CCA" w:rsidP="006B0CCA">
      <w:pPr>
        <w:numPr>
          <w:ilvl w:val="0"/>
          <w:numId w:val="10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0CCA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Temporal Deep Learning:</w:t>
      </w:r>
      <w:r w:rsidRPr="006B0CC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Implementing an LSTM or GRU model could capture temporal dependencies in sequential sentiment and price data.</w:t>
      </w:r>
    </w:p>
    <w:p w:rsidR="006B0CCA" w:rsidRPr="006B0CCA" w:rsidRDefault="006B0CCA" w:rsidP="006B0CCA">
      <w:pPr>
        <w:numPr>
          <w:ilvl w:val="0"/>
          <w:numId w:val="10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0CCA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Alternative Data Streams:</w:t>
      </w:r>
      <w:r w:rsidRPr="006B0CC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Incorporating social media sentiment (e.g., Twitter, Reddit) for real-time emotional context.</w:t>
      </w:r>
    </w:p>
    <w:p w:rsidR="006B0CCA" w:rsidRPr="006B0CCA" w:rsidRDefault="006B0CCA" w:rsidP="006B0CCA">
      <w:pPr>
        <w:numPr>
          <w:ilvl w:val="0"/>
          <w:numId w:val="10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0CCA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Sentiment Volatility Index:</w:t>
      </w:r>
      <w:r w:rsidRPr="006B0CC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Using rolling averages of sentiment to detect sudden emotional shifts in markets.</w:t>
      </w:r>
    </w:p>
    <w:p w:rsidR="006B0CCA" w:rsidRDefault="006B0CCA" w:rsidP="006B0CCA">
      <w:pPr>
        <w:numPr>
          <w:ilvl w:val="0"/>
          <w:numId w:val="10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0CCA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Explainable AI (XAI):</w:t>
      </w:r>
      <w:r w:rsidRPr="006B0CC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Applying SHAP or LIME to interpret model feature importance across sentiment-driven predictions.</w:t>
      </w:r>
    </w:p>
    <w:p w:rsidR="00CC5C4F" w:rsidRPr="006B0CCA" w:rsidRDefault="00CC5C4F" w:rsidP="00CC5C4F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  <w:drawing>
          <wp:inline distT="0" distB="0" distL="0" distR="0">
            <wp:extent cx="5731510" cy="3582035"/>
            <wp:effectExtent l="0" t="0" r="0" b="0"/>
            <wp:docPr id="167568474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684747" name="Picture 1675684747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B0CCA" w:rsidRDefault="006B0CCA" w:rsidP="006B0CCA">
      <w:pPr>
        <w:rPr>
          <w:rFonts w:ascii="Times New Roman" w:eastAsia="Times New Roman" w:hAnsi="Times New Roman" w:cs="Times New Roman"/>
          <w:kern w:val="0"/>
          <w:lang w:val="en-US" w:eastAsia="en-GB"/>
          <w14:ligatures w14:val="none"/>
        </w:rPr>
      </w:pPr>
    </w:p>
    <w:p w:rsidR="00CC5C4F" w:rsidRDefault="00CC5C4F" w:rsidP="006B0CCA">
      <w:pPr>
        <w:rPr>
          <w:rFonts w:ascii="Times New Roman" w:eastAsia="Times New Roman" w:hAnsi="Times New Roman" w:cs="Times New Roman"/>
          <w:kern w:val="0"/>
          <w:lang w:val="en-US" w:eastAsia="en-GB"/>
          <w14:ligatures w14:val="none"/>
        </w:rPr>
      </w:pPr>
    </w:p>
    <w:p w:rsidR="00CC5C4F" w:rsidRPr="006B0CCA" w:rsidRDefault="00CC5C4F" w:rsidP="006B0CCA">
      <w:pPr>
        <w:rPr>
          <w:rFonts w:ascii="Times New Roman" w:eastAsia="Times New Roman" w:hAnsi="Times New Roman" w:cs="Times New Roman"/>
          <w:kern w:val="0"/>
          <w:lang w:val="en-US" w:eastAsia="en-GB"/>
          <w14:ligatures w14:val="none"/>
        </w:rPr>
      </w:pPr>
    </w:p>
    <w:p w:rsidR="006B0CCA" w:rsidRPr="006B0CCA" w:rsidRDefault="006B0CCA" w:rsidP="006B0CCA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6B0CC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lastRenderedPageBreak/>
        <w:t>7. Conclusion</w:t>
      </w:r>
    </w:p>
    <w:p w:rsidR="006B0CCA" w:rsidRPr="006B0CCA" w:rsidRDefault="006B0CCA" w:rsidP="006B0CCA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0CC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This project successfully demonstrated the integration of </w:t>
      </w:r>
      <w:r w:rsidRPr="006B0CCA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NLP-driven sentiment analysis</w:t>
      </w:r>
      <w:r w:rsidRPr="006B0CC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with traditional </w:t>
      </w:r>
      <w:r w:rsidRPr="006B0CCA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stock price prediction models</w:t>
      </w:r>
      <w:r w:rsidRPr="006B0CC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  <w:r w:rsidRPr="006B0CC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>The findings highlight that while sentiment data alone offers limited value to linear models, it becomes significantly more informative when applied through ensemble or gradient-boosting architectures that can exploit nonlinear feature interactions.</w:t>
      </w:r>
    </w:p>
    <w:p w:rsidR="006B0CCA" w:rsidRPr="006B0CCA" w:rsidRDefault="006B0CCA" w:rsidP="006B0CCA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0CC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The resulting model achieved modest but meaningful improvement over the baseline, validating the hypothesis that </w:t>
      </w:r>
      <w:r w:rsidRPr="006B0CCA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financial sentiment is a relevant but complex factor</w:t>
      </w:r>
      <w:r w:rsidRPr="006B0CC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influencing daily stock price movements.</w:t>
      </w:r>
    </w:p>
    <w:p w:rsidR="006B0CCA" w:rsidRPr="006B0CCA" w:rsidRDefault="006B0CCA" w:rsidP="006B0CCA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0CC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In future work, enhancing the temporal resolution of textual data and employing deep learning architectures could lead to more robust predictive accuracy suitable for practical algorithmic trading systems.</w:t>
      </w:r>
    </w:p>
    <w:p w:rsidR="006B0CCA" w:rsidRPr="006B0CCA" w:rsidRDefault="00403FC3" w:rsidP="006B0CCA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03FC3">
        <w:rPr>
          <w:rFonts w:ascii="Times New Roman" w:eastAsia="Times New Roman" w:hAnsi="Times New Roman" w:cs="Times New Roman"/>
          <w:noProof/>
          <w:kern w:val="0"/>
          <w:lang w:eastAsia="en-GB"/>
        </w:rPr>
        <w:pict>
          <v:rect id="_x0000_i1025" alt="" style="width:451.3pt;height:.05pt;mso-width-percent:0;mso-height-percent:0;mso-width-percent:0;mso-height-percent:0" o:hralign="center" o:hrstd="t" o:hr="t" fillcolor="#a0a0a0" stroked="f"/>
        </w:pict>
      </w:r>
    </w:p>
    <w:p w:rsidR="00CC5C4F" w:rsidRDefault="00CC5C4F" w:rsidP="00CC5C4F">
      <w:pPr>
        <w:pStyle w:val="Heading2"/>
      </w:pPr>
      <w:r>
        <w:rPr>
          <w:rStyle w:val="Strong"/>
          <w:b/>
          <w:bCs/>
        </w:rPr>
        <w:t>8. References</w:t>
      </w:r>
    </w:p>
    <w:p w:rsidR="00CC5C4F" w:rsidRDefault="00CC5C4F" w:rsidP="00CC5C4F">
      <w:pPr>
        <w:pStyle w:val="NormalWeb"/>
        <w:numPr>
          <w:ilvl w:val="0"/>
          <w:numId w:val="12"/>
        </w:numPr>
      </w:pPr>
      <w:r>
        <w:t xml:space="preserve">Huang, A., et al. (2020). </w:t>
      </w:r>
      <w:r>
        <w:rPr>
          <w:rStyle w:val="Emphasis"/>
        </w:rPr>
        <w:t>FinBERT: A Pretrained Language Model for Financial Sentiment Analysis.</w:t>
      </w:r>
      <w:r>
        <w:t xml:space="preserve"> </w:t>
      </w:r>
      <w:hyperlink r:id="rId14" w:tgtFrame="_new" w:history="1">
        <w:r>
          <w:rPr>
            <w:rStyle w:val="Hyperlink"/>
          </w:rPr>
          <w:t>ACL Workshop on Financial NLP</w:t>
        </w:r>
      </w:hyperlink>
    </w:p>
    <w:p w:rsidR="00CC5C4F" w:rsidRDefault="00CC5C4F" w:rsidP="00CC5C4F">
      <w:pPr>
        <w:pStyle w:val="NormalWeb"/>
        <w:ind w:left="720"/>
      </w:pPr>
    </w:p>
    <w:p w:rsidR="00CC5C4F" w:rsidRDefault="00CC5C4F" w:rsidP="00CC5C4F">
      <w:pPr>
        <w:pStyle w:val="NormalWeb"/>
        <w:numPr>
          <w:ilvl w:val="0"/>
          <w:numId w:val="12"/>
        </w:numPr>
      </w:pPr>
      <w:r>
        <w:t xml:space="preserve">Pedregosa, F., Varoquaux, G., Gramfort, A., Michel, V., Thirion, B., Grisel, O., et al. (2011). </w:t>
      </w:r>
      <w:r>
        <w:rPr>
          <w:rStyle w:val="Emphasis"/>
        </w:rPr>
        <w:t>Scikit-learn: Machine Learning in Python.</w:t>
      </w:r>
      <w:r>
        <w:t xml:space="preserve"> </w:t>
      </w:r>
      <w:hyperlink r:id="rId15" w:tgtFrame="_new" w:history="1">
        <w:r>
          <w:rPr>
            <w:rStyle w:val="Hyperlink"/>
          </w:rPr>
          <w:t>Journal of Machine Learning Research</w:t>
        </w:r>
      </w:hyperlink>
    </w:p>
    <w:p w:rsidR="00CC5C4F" w:rsidRDefault="00CC5C4F" w:rsidP="00CC5C4F">
      <w:pPr>
        <w:pStyle w:val="ListParagraph"/>
      </w:pPr>
    </w:p>
    <w:p w:rsidR="00CC5C4F" w:rsidRDefault="00CC5C4F" w:rsidP="00CC5C4F">
      <w:pPr>
        <w:pStyle w:val="NormalWeb"/>
      </w:pPr>
    </w:p>
    <w:p w:rsidR="00CC5C4F" w:rsidRDefault="00CC5C4F" w:rsidP="00CC5C4F">
      <w:pPr>
        <w:pStyle w:val="NormalWeb"/>
        <w:numPr>
          <w:ilvl w:val="0"/>
          <w:numId w:val="12"/>
        </w:numPr>
      </w:pPr>
      <w:r>
        <w:t xml:space="preserve">Chen, T., &amp; Guestrin, C. (2016). </w:t>
      </w:r>
      <w:r>
        <w:rPr>
          <w:rStyle w:val="Emphasis"/>
        </w:rPr>
        <w:t>XGBoost: A Scalable Tree Boosting System.</w:t>
      </w:r>
      <w:r>
        <w:t xml:space="preserve"> </w:t>
      </w:r>
      <w:hyperlink r:id="rId16" w:tgtFrame="_new" w:history="1">
        <w:r>
          <w:rPr>
            <w:rStyle w:val="Hyperlink"/>
          </w:rPr>
          <w:t>Proceedings of the 22nd ACM SIGKDD International Conference on Knowledge Discovery and Data Mining</w:t>
        </w:r>
      </w:hyperlink>
    </w:p>
    <w:p w:rsidR="00CC5C4F" w:rsidRDefault="00CC5C4F" w:rsidP="00CC5C4F">
      <w:pPr>
        <w:pStyle w:val="NormalWeb"/>
      </w:pPr>
    </w:p>
    <w:p w:rsidR="00CC5C4F" w:rsidRDefault="00CC5C4F" w:rsidP="00CC5C4F">
      <w:pPr>
        <w:pStyle w:val="NormalWeb"/>
        <w:numPr>
          <w:ilvl w:val="0"/>
          <w:numId w:val="12"/>
        </w:numPr>
      </w:pPr>
      <w:r>
        <w:rPr>
          <w:rStyle w:val="Emphasis"/>
        </w:rPr>
        <w:t>Yahoo Finance API Documentation</w:t>
      </w:r>
      <w:r>
        <w:t xml:space="preserve"> (2025). Retrieved from </w:t>
      </w:r>
      <w:hyperlink r:id="rId17" w:tgtFrame="_new" w:history="1">
        <w:r>
          <w:rPr>
            <w:rStyle w:val="Hyperlink"/>
          </w:rPr>
          <w:t>https://pypi.org/project/yfinance/</w:t>
        </w:r>
      </w:hyperlink>
    </w:p>
    <w:p w:rsidR="00CC5C4F" w:rsidRDefault="00CC5C4F" w:rsidP="00CC5C4F">
      <w:pPr>
        <w:pStyle w:val="ListParagraph"/>
      </w:pPr>
    </w:p>
    <w:p w:rsidR="00CC5C4F" w:rsidRDefault="00CC5C4F" w:rsidP="00CC5C4F">
      <w:pPr>
        <w:pStyle w:val="NormalWeb"/>
      </w:pPr>
    </w:p>
    <w:p w:rsidR="00CC5C4F" w:rsidRDefault="00CC5C4F" w:rsidP="00CC5C4F">
      <w:pPr>
        <w:pStyle w:val="NormalWeb"/>
        <w:numPr>
          <w:ilvl w:val="0"/>
          <w:numId w:val="12"/>
        </w:numPr>
      </w:pPr>
      <w:r>
        <w:t xml:space="preserve">Araci, D. (2019). </w:t>
      </w:r>
      <w:r>
        <w:rPr>
          <w:rStyle w:val="Emphasis"/>
        </w:rPr>
        <w:t>FinBERT: Financial Sentiment Analysis with Pre-trained Language Models.</w:t>
      </w:r>
      <w:r>
        <w:t xml:space="preserve"> arXiv preprint arXiv:1908.10063</w:t>
      </w:r>
    </w:p>
    <w:p w:rsidR="00CC5C4F" w:rsidRDefault="00CC5C4F" w:rsidP="00CC5C4F">
      <w:pPr>
        <w:pStyle w:val="NormalWeb"/>
      </w:pPr>
    </w:p>
    <w:p w:rsidR="00CC5C4F" w:rsidRDefault="00CC5C4F" w:rsidP="00CC5C4F">
      <w:pPr>
        <w:pStyle w:val="NormalWeb"/>
        <w:numPr>
          <w:ilvl w:val="0"/>
          <w:numId w:val="12"/>
        </w:numPr>
      </w:pPr>
      <w:r>
        <w:rPr>
          <w:rStyle w:val="Emphasis"/>
        </w:rPr>
        <w:t>Kaggle Financial News Dataset</w:t>
      </w:r>
      <w:r>
        <w:t xml:space="preserve"> (2024). Retrieved from </w:t>
      </w:r>
      <w:hyperlink r:id="rId18" w:tgtFrame="_new" w:history="1">
        <w:r>
          <w:rPr>
            <w:rStyle w:val="Hyperlink"/>
          </w:rPr>
          <w:t>https://www.kaggle.com/datasets</w:t>
        </w:r>
      </w:hyperlink>
    </w:p>
    <w:p w:rsidR="00D13E12" w:rsidRDefault="00D13E12"/>
    <w:sectPr w:rsidR="00D13E12">
      <w:footerReference w:type="even" r:id="rId19"/>
      <w:footerReference w:type="default" r:id="rId20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403FC3" w:rsidRDefault="00403FC3" w:rsidP="00CC5C4F">
      <w:r>
        <w:separator/>
      </w:r>
    </w:p>
  </w:endnote>
  <w:endnote w:type="continuationSeparator" w:id="0">
    <w:p w:rsidR="00403FC3" w:rsidRDefault="00403FC3" w:rsidP="00CC5C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Iskoola Pota">
    <w:panose1 w:val="020B0502040204020203"/>
    <w:charset w:val="4D"/>
    <w:family w:val="swiss"/>
    <w:pitch w:val="variable"/>
    <w:sig w:usb0="00000003" w:usb1="00000000" w:usb2="0000020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866949031"/>
      <w:docPartObj>
        <w:docPartGallery w:val="Page Numbers (Bottom of Page)"/>
        <w:docPartUnique/>
      </w:docPartObj>
    </w:sdtPr>
    <w:sdtContent>
      <w:p w:rsidR="00CC5C4F" w:rsidRDefault="00CC5C4F" w:rsidP="00694D61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:rsidR="00CC5C4F" w:rsidRDefault="00CC5C4F" w:rsidP="00CC5C4F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1378271662"/>
      <w:docPartObj>
        <w:docPartGallery w:val="Page Numbers (Bottom of Page)"/>
        <w:docPartUnique/>
      </w:docPartObj>
    </w:sdtPr>
    <w:sdtContent>
      <w:p w:rsidR="00CC5C4F" w:rsidRDefault="00CC5C4F" w:rsidP="00694D61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:rsidR="00CC5C4F" w:rsidRDefault="00CC5C4F" w:rsidP="00CC5C4F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403FC3" w:rsidRDefault="00403FC3" w:rsidP="00CC5C4F">
      <w:r>
        <w:separator/>
      </w:r>
    </w:p>
  </w:footnote>
  <w:footnote w:type="continuationSeparator" w:id="0">
    <w:p w:rsidR="00403FC3" w:rsidRDefault="00403FC3" w:rsidP="00CC5C4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293F99"/>
    <w:multiLevelType w:val="multilevel"/>
    <w:tmpl w:val="21F4E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615A43"/>
    <w:multiLevelType w:val="multilevel"/>
    <w:tmpl w:val="E8129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EB5B11"/>
    <w:multiLevelType w:val="multilevel"/>
    <w:tmpl w:val="A8148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A64190"/>
    <w:multiLevelType w:val="multilevel"/>
    <w:tmpl w:val="F11EC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F3161C0"/>
    <w:multiLevelType w:val="multilevel"/>
    <w:tmpl w:val="B3EAB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8E7660"/>
    <w:multiLevelType w:val="multilevel"/>
    <w:tmpl w:val="34D2C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6D414D8"/>
    <w:multiLevelType w:val="multilevel"/>
    <w:tmpl w:val="956CB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C02304C"/>
    <w:multiLevelType w:val="multilevel"/>
    <w:tmpl w:val="14D20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60F53C7"/>
    <w:multiLevelType w:val="multilevel"/>
    <w:tmpl w:val="6E88C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9292AB8"/>
    <w:multiLevelType w:val="multilevel"/>
    <w:tmpl w:val="422C0E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7055254"/>
    <w:multiLevelType w:val="multilevel"/>
    <w:tmpl w:val="3502F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C6A4454"/>
    <w:multiLevelType w:val="multilevel"/>
    <w:tmpl w:val="385229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31173133">
    <w:abstractNumId w:val="4"/>
  </w:num>
  <w:num w:numId="2" w16cid:durableId="2108652498">
    <w:abstractNumId w:val="8"/>
  </w:num>
  <w:num w:numId="3" w16cid:durableId="1719360475">
    <w:abstractNumId w:val="9"/>
  </w:num>
  <w:num w:numId="4" w16cid:durableId="341517290">
    <w:abstractNumId w:val="7"/>
  </w:num>
  <w:num w:numId="5" w16cid:durableId="1619222353">
    <w:abstractNumId w:val="10"/>
  </w:num>
  <w:num w:numId="6" w16cid:durableId="131868056">
    <w:abstractNumId w:val="3"/>
  </w:num>
  <w:num w:numId="7" w16cid:durableId="1725637884">
    <w:abstractNumId w:val="6"/>
  </w:num>
  <w:num w:numId="8" w16cid:durableId="1781679561">
    <w:abstractNumId w:val="2"/>
  </w:num>
  <w:num w:numId="9" w16cid:durableId="2074963357">
    <w:abstractNumId w:val="1"/>
  </w:num>
  <w:num w:numId="10" w16cid:durableId="1049570240">
    <w:abstractNumId w:val="11"/>
  </w:num>
  <w:num w:numId="11" w16cid:durableId="1116145050">
    <w:abstractNumId w:val="5"/>
  </w:num>
  <w:num w:numId="12" w16cid:durableId="16928057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2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0CCA"/>
    <w:rsid w:val="00403FC3"/>
    <w:rsid w:val="00545D99"/>
    <w:rsid w:val="006B0CCA"/>
    <w:rsid w:val="00CC5C4F"/>
    <w:rsid w:val="00D13E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LK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EAC444"/>
  <w15:chartTrackingRefBased/>
  <w15:docId w15:val="{02F85A92-5AA1-EB44-AC54-45BBC5D099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LK" w:eastAsia="en-US" w:bidi="si-LK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Arial Unicode MS"/>
    </w:rPr>
  </w:style>
  <w:style w:type="paragraph" w:styleId="Heading1">
    <w:name w:val="heading 1"/>
    <w:basedOn w:val="Normal"/>
    <w:link w:val="Heading1Char"/>
    <w:uiPriority w:val="9"/>
    <w:qFormat/>
    <w:rsid w:val="006B0CCA"/>
    <w:pPr>
      <w:spacing w:before="100" w:beforeAutospacing="1" w:after="100" w:afterAutospacing="1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GB"/>
      <w14:ligatures w14:val="none"/>
    </w:rPr>
  </w:style>
  <w:style w:type="paragraph" w:styleId="Heading2">
    <w:name w:val="heading 2"/>
    <w:basedOn w:val="Normal"/>
    <w:link w:val="Heading2Char"/>
    <w:uiPriority w:val="9"/>
    <w:qFormat/>
    <w:rsid w:val="006B0CCA"/>
    <w:pPr>
      <w:spacing w:before="100" w:beforeAutospacing="1" w:after="100" w:afterAutospacing="1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:lang w:eastAsia="en-GB"/>
      <w14:ligatures w14:val="none"/>
    </w:rPr>
  </w:style>
  <w:style w:type="paragraph" w:styleId="Heading3">
    <w:name w:val="heading 3"/>
    <w:basedOn w:val="Normal"/>
    <w:link w:val="Heading3Char"/>
    <w:uiPriority w:val="9"/>
    <w:qFormat/>
    <w:rsid w:val="006B0CCA"/>
    <w:pPr>
      <w:spacing w:before="100" w:beforeAutospacing="1" w:after="100" w:afterAutospacing="1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en-GB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0CCA"/>
    <w:rPr>
      <w:rFonts w:ascii="Times New Roman" w:eastAsia="Times New Roman" w:hAnsi="Times New Roman" w:cs="Times New Roman"/>
      <w:b/>
      <w:bCs/>
      <w:kern w:val="36"/>
      <w:sz w:val="48"/>
      <w:szCs w:val="48"/>
      <w:lang w:eastAsia="en-GB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6B0CCA"/>
    <w:rPr>
      <w:rFonts w:ascii="Times New Roman" w:eastAsia="Times New Roman" w:hAnsi="Times New Roman" w:cs="Times New Roman"/>
      <w:b/>
      <w:bCs/>
      <w:kern w:val="0"/>
      <w:sz w:val="36"/>
      <w:szCs w:val="36"/>
      <w:lang w:eastAsia="en-GB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6B0CCA"/>
    <w:rPr>
      <w:rFonts w:ascii="Times New Roman" w:eastAsia="Times New Roman" w:hAnsi="Times New Roman" w:cs="Times New Roman"/>
      <w:b/>
      <w:bCs/>
      <w:kern w:val="0"/>
      <w:sz w:val="27"/>
      <w:szCs w:val="27"/>
      <w:lang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6B0CCA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6B0CCA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Emphasis">
    <w:name w:val="Emphasis"/>
    <w:basedOn w:val="DefaultParagraphFont"/>
    <w:uiPriority w:val="20"/>
    <w:qFormat/>
    <w:rsid w:val="006B0CCA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6B0CCA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B0CC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B0CCA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customStyle="1" w:styleId="hljs-string">
    <w:name w:val="hljs-string"/>
    <w:basedOn w:val="DefaultParagraphFont"/>
    <w:rsid w:val="006B0CCA"/>
  </w:style>
  <w:style w:type="character" w:customStyle="1" w:styleId="hljs-keyword">
    <w:name w:val="hljs-keyword"/>
    <w:basedOn w:val="DefaultParagraphFont"/>
    <w:rsid w:val="006B0CCA"/>
  </w:style>
  <w:style w:type="character" w:customStyle="1" w:styleId="hljs-number">
    <w:name w:val="hljs-number"/>
    <w:basedOn w:val="DefaultParagraphFont"/>
    <w:rsid w:val="006B0CCA"/>
  </w:style>
  <w:style w:type="character" w:customStyle="1" w:styleId="katex-mathml">
    <w:name w:val="katex-mathml"/>
    <w:basedOn w:val="DefaultParagraphFont"/>
    <w:rsid w:val="006B0CCA"/>
  </w:style>
  <w:style w:type="character" w:customStyle="1" w:styleId="mord">
    <w:name w:val="mord"/>
    <w:basedOn w:val="DefaultParagraphFont"/>
    <w:rsid w:val="006B0CCA"/>
  </w:style>
  <w:style w:type="character" w:customStyle="1" w:styleId="mrel">
    <w:name w:val="mrel"/>
    <w:basedOn w:val="DefaultParagraphFont"/>
    <w:rsid w:val="006B0CCA"/>
  </w:style>
  <w:style w:type="character" w:customStyle="1" w:styleId="mbin">
    <w:name w:val="mbin"/>
    <w:basedOn w:val="DefaultParagraphFont"/>
    <w:rsid w:val="006B0CCA"/>
  </w:style>
  <w:style w:type="character" w:customStyle="1" w:styleId="mtight">
    <w:name w:val="mtight"/>
    <w:basedOn w:val="DefaultParagraphFont"/>
    <w:rsid w:val="006B0CCA"/>
  </w:style>
  <w:style w:type="character" w:customStyle="1" w:styleId="vlist-s">
    <w:name w:val="vlist-s"/>
    <w:basedOn w:val="DefaultParagraphFont"/>
    <w:rsid w:val="006B0CCA"/>
  </w:style>
  <w:style w:type="character" w:customStyle="1" w:styleId="delimsizing">
    <w:name w:val="delimsizing"/>
    <w:basedOn w:val="DefaultParagraphFont"/>
    <w:rsid w:val="006B0CCA"/>
  </w:style>
  <w:style w:type="character" w:customStyle="1" w:styleId="mpunct">
    <w:name w:val="mpunct"/>
    <w:basedOn w:val="DefaultParagraphFont"/>
    <w:rsid w:val="006B0CCA"/>
  </w:style>
  <w:style w:type="paragraph" w:styleId="ListParagraph">
    <w:name w:val="List Paragraph"/>
    <w:basedOn w:val="Normal"/>
    <w:uiPriority w:val="34"/>
    <w:qFormat/>
    <w:rsid w:val="00CC5C4F"/>
    <w:pPr>
      <w:ind w:left="720"/>
      <w:contextualSpacing/>
    </w:pPr>
  </w:style>
  <w:style w:type="paragraph" w:styleId="Footer">
    <w:name w:val="footer"/>
    <w:basedOn w:val="Normal"/>
    <w:link w:val="FooterChar"/>
    <w:uiPriority w:val="99"/>
    <w:unhideWhenUsed/>
    <w:rsid w:val="00CC5C4F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C5C4F"/>
    <w:rPr>
      <w:rFonts w:cs="Arial Unicode MS"/>
    </w:rPr>
  </w:style>
  <w:style w:type="character" w:styleId="PageNumber">
    <w:name w:val="page number"/>
    <w:basedOn w:val="DefaultParagraphFont"/>
    <w:uiPriority w:val="99"/>
    <w:semiHidden/>
    <w:unhideWhenUsed/>
    <w:rsid w:val="00CC5C4F"/>
  </w:style>
  <w:style w:type="character" w:styleId="Hyperlink">
    <w:name w:val="Hyperlink"/>
    <w:basedOn w:val="DefaultParagraphFont"/>
    <w:uiPriority w:val="99"/>
    <w:semiHidden/>
    <w:unhideWhenUsed/>
    <w:rsid w:val="00CC5C4F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2253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4272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844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795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63384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944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92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7272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48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23416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862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044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14460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6737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183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030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yperlink" Target="https://www.kaggle.com/datasets" TargetMode="Externa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yperlink" Target="https://pypi.org/project/yfinance/" TargetMode="External"/><Relationship Id="rId2" Type="http://schemas.openxmlformats.org/officeDocument/2006/relationships/styles" Target="styles.xml"/><Relationship Id="rId16" Type="http://schemas.openxmlformats.org/officeDocument/2006/relationships/hyperlink" Target="https://dl.acm.org/doi/10.1145/2939672.2939785" TargetMode="External"/><Relationship Id="rId20" Type="http://schemas.openxmlformats.org/officeDocument/2006/relationships/footer" Target="foot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yperlink" Target="https://jmlr.org/papers/v12/pedregosa11a.html" TargetMode="External"/><Relationship Id="rId10" Type="http://schemas.openxmlformats.org/officeDocument/2006/relationships/image" Target="media/image4.png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s://aclanthology.org/2020.finnlp-1.3/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9</Pages>
  <Words>1453</Words>
  <Characters>8285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lasith charuka</dc:creator>
  <cp:keywords/>
  <dc:description/>
  <cp:lastModifiedBy>lasith charuka</cp:lastModifiedBy>
  <cp:revision>2</cp:revision>
  <dcterms:created xsi:type="dcterms:W3CDTF">2025-11-02T09:54:00Z</dcterms:created>
  <dcterms:modified xsi:type="dcterms:W3CDTF">2025-11-02T10:18:00Z</dcterms:modified>
</cp:coreProperties>
</file>