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2265"/>
        <w:gridCol w:w="4275"/>
        <w:gridCol w:w="5955"/>
        <w:tblGridChange w:id="0">
          <w:tblGrid>
            <w:gridCol w:w="1035"/>
            <w:gridCol w:w="2265"/>
            <w:gridCol w:w="4275"/>
            <w:gridCol w:w="5955"/>
          </w:tblGrid>
        </w:tblGridChange>
      </w:tblGrid>
      <w:tr>
        <w:trPr>
          <w:cantSplit w:val="0"/>
          <w:trHeight w:val="78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Aristocracy or Meritocracy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Basics of the Dynasty - 2 sentences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caused it to end?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emperor took over for the warlords and created an empire.  Mandate of Heaven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Corruption and farmer rebellion allowed the Han to take over.</w:t>
            </w:r>
          </w:p>
        </w:tc>
      </w:tr>
      <w:tr>
        <w:trPr>
          <w:cantSplit w:val="0"/>
          <w:trHeight w:val="137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Basics of the China Dynasties - fill this out using your notes</w:t>
      <w:tab/>
      <w:tab/>
      <w:tab/>
      <w:tab/>
      <w:tab/>
      <w:tab/>
      <w:tab/>
      <w:tab/>
      <w:t xml:space="preserve">Mr. Hackey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