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11146"/>
      </w:tblGrid>
      <w:tr>
        <w:tc>
          <w:tcPr>
            <w:tcW w:type="dxa" w:w="1114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52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077456" cy="12070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ability_header_from_doc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7456" cy="12070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0" w:line="252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4392"/>
        <w:gridCol w:w="6754"/>
      </w:tblGrid>
      <w:tr>
        <w:tc>
          <w:tcPr>
            <w:tcW w:type="dxa" w:w="5573"/>
            <w:shd w:fill="F5F0E1" w:val="clear"/>
            <w:tcMar>
              <w:top w:w="70" w:type="dxa"/>
              <w:bottom w:w="70" w:type="dxa"/>
              <w:left w:w="70" w:type="dxa"/>
              <w:right w:w="7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  <w:tblLayout w:type="fixed"/>
            </w:tblPr>
            <w:tblGrid>
              <w:gridCol w:w="5573"/>
            </w:tblGrid>
            <w:tr>
              <w:tc>
                <w:tcPr>
                  <w:tcW w:type="dxa" w:w="5573"/>
                  <w:shd w:fill="001F5C" w:val="clear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Calibri" w:hAnsi="Calibri" w:eastAsia="Calibri"/>
                      <w:b/>
                      <w:color w:val="FFFFFF"/>
                      <w:sz w:val="19"/>
                    </w:rPr>
                    <w:t>WHO WE ARE</w:t>
                  </w:r>
                </w:p>
              </w:tc>
            </w:tr>
          </w:tbl>
          <w:p/>
          <w:p>
            <w:pPr>
              <w:spacing w:before="0" w:after="20" w:line="252" w:lineRule="auto"/>
            </w:pPr>
          </w:p>
          <w:p>
            <w:pPr>
              <w:spacing w:before="0" w:after="12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7"/>
              </w:rPr>
              <w:t>Axis BIM Solutions is a Warsaw-based BIM practice supporting owners, A/E firms and contractors when geometry, data and documents must stay consistent. We deliver engineering-grade model coordination, construction documents from the model, Scan to BIM for existing assets and BIM process implementation—on-site or remote across the EU.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  <w:tblLayout w:type="fixed"/>
            </w:tblPr>
            <w:tblGrid>
              <w:gridCol w:w="5573"/>
            </w:tblGrid>
            <w:tr>
              <w:tc>
                <w:tcPr>
                  <w:tcW w:type="dxa" w:w="5573"/>
                  <w:shd w:fill="001F5C" w:val="clear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Calibri" w:hAnsi="Calibri" w:eastAsia="Calibri"/>
                      <w:b/>
                      <w:color w:val="FFFFFF"/>
                      <w:sz w:val="19"/>
                    </w:rPr>
                    <w:t>CORE CAPABILITIES</w:t>
                  </w:r>
                </w:p>
              </w:tc>
            </w:tr>
          </w:tbl>
          <w:p/>
          <w:p>
            <w:pPr>
              <w:spacing w:before="0" w:after="20" w:line="252" w:lineRule="auto"/>
            </w:pP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11111"/>
                <w:sz w:val="16"/>
              </w:rPr>
              <w:t xml:space="preserve">Model coordination: </w:t>
            </w: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Federate disciplines, run clash detection and keep the shared model under version control through design and construction.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11111"/>
                <w:sz w:val="16"/>
              </w:rPr>
              <w:t xml:space="preserve">Drawing production: </w:t>
            </w: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Extract plans, sections, details and schedules from the model so permit and construction sets stay aligned with the geometry.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11111"/>
                <w:sz w:val="16"/>
              </w:rPr>
              <w:t xml:space="preserve">Scan to BIM: </w:t>
            </w: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Capture existing conditions with point clouds and convert them into accurate as-built models for renovation, fit-out and verification.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11111"/>
                <w:sz w:val="16"/>
              </w:rPr>
              <w:t xml:space="preserve">BIM implementation: </w:t>
            </w: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Define BEP, detail matrices, naming and responsibilities—then coach project teams until the workflow holds without constant oversight.</w:t>
            </w:r>
          </w:p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  <w:tblLayout w:type="fixed"/>
            </w:tblPr>
            <w:tblGrid>
              <w:gridCol w:w="5573"/>
            </w:tblGrid>
            <w:tr>
              <w:tc>
                <w:tcPr>
                  <w:tcW w:type="dxa" w:w="5573"/>
                  <w:shd w:fill="001F5C" w:val="clear"/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Calibri" w:hAnsi="Calibri" w:eastAsia="Calibri"/>
                      <w:b/>
                      <w:color w:val="FFFFFF"/>
                      <w:sz w:val="19"/>
                    </w:rPr>
                    <w:t>PAST PERFORMANCE</w:t>
                  </w:r>
                </w:p>
              </w:tc>
            </w:tr>
          </w:tbl>
          <w:p/>
          <w:p>
            <w:pPr>
              <w:spacing w:before="0" w:after="20" w:line="252" w:lineRule="auto"/>
            </w:pP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11111"/>
                <w:sz w:val="16"/>
              </w:rPr>
              <w:t xml:space="preserve">Commercial office: </w:t>
            </w: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Multidisciplinary federation and weekly clash packages for a dense MEP office fit-out; reduced late design conflicts before CD freeze.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11111"/>
                <w:sz w:val="16"/>
              </w:rPr>
              <w:t xml:space="preserve">Multifamily housing: </w:t>
            </w: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Corridor MEP coordination and repetitive-unit drawing extraction; aligned sheet sets with the live model through CD.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11111"/>
                <w:sz w:val="16"/>
              </w:rPr>
              <w:t xml:space="preserve">Industrial facility: </w:t>
            </w: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Equipment clearance modelling and phased coordination reviews; IFC packages handed to the contractor CDE.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11111"/>
                <w:sz w:val="16"/>
              </w:rPr>
              <w:t xml:space="preserve">Institutional campus: </w:t>
            </w: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Scan to BIM of existing wings plus deviation checks vs design; as-built model used for renovation packages.</w:t>
            </w:r>
          </w:p>
        </w:tc>
        <w:tc>
          <w:tcPr>
            <w:tcW w:type="dxa" w:w="5573"/>
            <w:shd w:fill="FFFFFF" w:val="clear"/>
            <w:tcMar>
              <w:top w:w="40" w:type="dxa"/>
              <w:bottom w:w="40" w:type="dxa"/>
              <w:left w:w="90" w:type="dxa"/>
              <w:right w:w="40" w:type="dxa"/>
            </w:tcMar>
          </w:tcPr>
          <w:p>
            <w:pPr>
              <w:spacing w:before="0" w:after="80" w:line="252" w:lineRule="auto"/>
            </w:pPr>
            <w:r>
              <w:rPr>
                <w:rFonts w:ascii="Calibri" w:hAnsi="Calibri" w:eastAsia="Calibri"/>
                <w:b/>
                <w:color w:val="001F5C"/>
                <w:sz w:val="24"/>
              </w:rPr>
              <w:t>WHY CHOOSE US?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 w:eastAsia="Calibri"/>
                <w:b/>
                <w:color w:val="001F5C"/>
                <w:sz w:val="19"/>
              </w:rPr>
              <w:t>Engineering focus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We treat BIM as delivery infrastructure—not visualisation theatre. Models, drawings and CDE rules stay aligned under project pressure.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 w:eastAsia="Calibri"/>
                <w:b/>
                <w:color w:val="001F5C"/>
                <w:sz w:val="19"/>
              </w:rPr>
              <w:t>Federated coordination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Discipline overlays, clash detection and issue tracking run as a weekly rhythm so conflicts are closed before documents freeze.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 w:eastAsia="Calibri"/>
                <w:b/>
                <w:color w:val="001F5C"/>
                <w:sz w:val="19"/>
              </w:rPr>
              <w:t>Scan to BIM expertise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Point cloud registration and as-built authoring for renovation and verification, with measurable deviation checks vs design.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 w:eastAsia="Calibri"/>
                <w:b/>
                <w:color w:val="001F5C"/>
                <w:sz w:val="19"/>
              </w:rPr>
              <w:t>Process that sticks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BEP, naming, RACI and pilot coaching so teams keep the workflow after handoff—not only during our engagement.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 w:eastAsia="Calibri"/>
                <w:b/>
                <w:color w:val="001F5C"/>
                <w:sz w:val="19"/>
              </w:rPr>
              <w:t>EU delivery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Warsaw-based, available on-site or remote across the EU for owners, A/E firms and contractors.</w:t>
            </w:r>
          </w:p>
          <w:p>
            <w:pPr>
              <w:spacing w:before="80" w:after="60" w:line="252" w:lineRule="auto"/>
            </w:pPr>
            <w:r>
              <w:rPr>
                <w:rFonts w:ascii="Calibri" w:hAnsi="Calibri" w:eastAsia="Calibri"/>
                <w:b/>
                <w:color w:val="001F5C"/>
                <w:sz w:val="24"/>
              </w:rPr>
              <w:t>OUR DIFFERENTIATORS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•  Model-first drawing production (plans, sections, schedules from the federated model)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•  Clash detection tied to clear tolerances and coordination packages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•  Scan to BIM for existing assets and renovation verification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•  Authoring in Revit · AutoCAD · Tekla; coordination in Navisworks · Solibri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•  CDE setup on Autodesk Construction Cloud / BIM 360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•  Detail-level alignment, IFC exchange and as-built updates</w:t>
            </w:r>
          </w:p>
          <w:p>
            <w:pPr>
              <w:spacing w:before="100" w:after="60" w:line="252" w:lineRule="auto"/>
            </w:pPr>
            <w:r>
              <w:rPr>
                <w:rFonts w:ascii="Calibri" w:hAnsi="Calibri" w:eastAsia="Calibri"/>
                <w:b/>
                <w:color w:val="001F5C"/>
                <w:sz w:val="24"/>
              </w:rPr>
              <w:t>CERTIFICATIONS &amp; PLATFORM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•  Authoring: Revit · AutoCAD · Tekla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•  Coordination: Navisworks · Solibri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•  CDE: Autodesk Construction Cloud / BIM 360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•  Exchange: IFC and project-specific deliverable packages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 w:val="0"/>
                <w:color w:val="2A2A2A"/>
                <w:sz w:val="16"/>
              </w:rPr>
              <w:t>•  Sectors: Commercial · Multifamily · Industrial · Institutional</w:t>
            </w:r>
          </w:p>
        </w:tc>
      </w:tr>
    </w:tbl>
    <w:p>
      <w:pPr>
        <w:spacing w:before="80" w:after="0" w:line="252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8208"/>
        <w:gridCol w:w="2938"/>
      </w:tblGrid>
      <w:tr>
        <w:tc>
          <w:tcPr>
            <w:tcW w:type="dxa" w:w="5573"/>
            <w:shd w:fill="001F5C" w:val="clear"/>
            <w:tcMar>
              <w:top w:w="70" w:type="dxa"/>
              <w:bottom w:w="70" w:type="dxa"/>
              <w:left w:w="80" w:type="dxa"/>
              <w:right w:w="40" w:type="dxa"/>
            </w:tcMar>
          </w:tcPr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E0E8F2"/>
                <w:sz w:val="17"/>
              </w:rPr>
              <w:t>+48 22 555 01 48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E0E8F2"/>
                <w:sz w:val="17"/>
              </w:rPr>
              <w:t>hello@axisbim.com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Website: </w:t>
            </w:r>
            <w:r>
              <w:rPr>
                <w:rFonts w:ascii="Calibri" w:hAnsi="Calibri" w:eastAsia="Calibri"/>
                <w:b w:val="0"/>
                <w:color w:val="E0E8F2"/>
                <w:sz w:val="17"/>
              </w:rPr>
              <w:t>axisbim.com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E0E8F2"/>
                <w:sz w:val="17"/>
              </w:rPr>
              <w:t>Warsaw, Poland · EU remote</w:t>
            </w:r>
          </w:p>
        </w:tc>
        <w:tc>
          <w:tcPr>
            <w:tcW w:type="dxa" w:w="5573"/>
            <w:shd w:fill="001F5C" w:val="clear"/>
            <w:tcMar>
              <w:top w:w="50" w:type="dxa"/>
              <w:bottom w:w="50" w:type="dxa"/>
              <w:left w:w="40" w:type="dxa"/>
              <w:right w:w="60" w:type="dxa"/>
            </w:tcMar>
          </w:tcPr>
          <w:p>
            <w:pPr>
              <w:spacing w:before="0" w:after="40" w:line="252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xis_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Calibri"/>
                <w:b w:val="0"/>
                <w:color w:val="E0E8F2"/>
                <w:sz w:val="15"/>
              </w:rPr>
              <w:t>Scan for the website</w:t>
              <w:br/>
              <w:t>axisbimsolutions.com</w:t>
            </w:r>
          </w:p>
        </w:tc>
      </w:tr>
    </w:tbl>
    <w:sectPr w:rsidR="00FC693F" w:rsidRPr="0006063C" w:rsidSect="00034616">
      <w:pgSz w:w="12240" w:h="15840"/>
      <w:pgMar w:top="403" w:right="547" w:bottom="403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