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</w:tblPr>
      <w:tblGrid>
        <w:gridCol w:w="11088"/>
      </w:tblGrid>
      <w:tr>
        <w:tc>
          <w:tcPr>
            <w:tcW w:type="dxa" w:w="1108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59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7040880" cy="13258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pability_header_compos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0880" cy="1325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40" w:line="259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</w:tblPr>
      <w:tblGrid>
        <w:gridCol w:w="4536"/>
        <w:gridCol w:w="6552"/>
      </w:tblGrid>
      <w:tr>
        <w:tc>
          <w:tcPr>
            <w:tcW w:type="dxa" w:w="5544"/>
            <w:shd w:fill="F5F0E1" w:val="clear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</w:tblPr>
            <w:tblGrid>
              <w:gridCol w:w="5544"/>
            </w:tblGrid>
            <w:tr>
              <w:tc>
                <w:tcPr>
                  <w:tcW w:type="dxa" w:w="5544"/>
                  <w:shd w:fill="001F5C" w:val="clear"/>
                  <w:tcMar>
                    <w:top w:w="40" w:type="dxa"/>
                    <w:bottom w:w="4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 w:line="259" w:lineRule="auto"/>
                  </w:pPr>
                  <w:r>
                    <w:rPr>
                      <w:rFonts w:ascii="Calibri" w:hAnsi="Calibri" w:eastAsia="Calibri"/>
                      <w:b/>
                      <w:color w:val="FFFFFF"/>
                      <w:sz w:val="20"/>
                    </w:rPr>
                    <w:t>WHO WE ARE</w:t>
                  </w:r>
                </w:p>
              </w:tc>
            </w:tr>
          </w:tbl>
          <w:p/>
          <w:p>
            <w:pPr>
              <w:spacing w:before="0" w:after="40" w:line="259" w:lineRule="auto"/>
            </w:pPr>
          </w:p>
          <w:p>
            <w:pPr>
              <w:spacing w:before="0" w:after="160" w:line="259" w:lineRule="auto"/>
            </w:pPr>
            <w:r>
              <w:rPr>
                <w:rFonts w:ascii="Calibri" w:hAnsi="Calibri" w:eastAsia="Calibri"/>
                <w:b w:val="0"/>
                <w:color w:val="2A2A2A"/>
                <w:sz w:val="18"/>
              </w:rPr>
              <w:t>Axis BIM Solutions is a Warsaw-based BIM practice supporting owners, A/E firms and contractors when geometry, data and documents must stay consistent. We deliver engineering-grade model coordination, construction documents from the model, Scan to BIM for existing assets and BIM process implementation—on-site or remote across the EU.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</w:tblPr>
            <w:tblGrid>
              <w:gridCol w:w="5544"/>
            </w:tblGrid>
            <w:tr>
              <w:tc>
                <w:tcPr>
                  <w:tcW w:type="dxa" w:w="5544"/>
                  <w:shd w:fill="001F5C" w:val="clear"/>
                  <w:tcMar>
                    <w:top w:w="40" w:type="dxa"/>
                    <w:bottom w:w="4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 w:line="259" w:lineRule="auto"/>
                  </w:pPr>
                  <w:r>
                    <w:rPr>
                      <w:rFonts w:ascii="Calibri" w:hAnsi="Calibri" w:eastAsia="Calibri"/>
                      <w:b/>
                      <w:color w:val="FFFFFF"/>
                      <w:sz w:val="20"/>
                    </w:rPr>
                    <w:t>CORE CAPABILITIES</w:t>
                  </w:r>
                </w:p>
              </w:tc>
            </w:tr>
          </w:tbl>
          <w:p/>
          <w:p>
            <w:pPr>
              <w:spacing w:before="0" w:after="40" w:line="259" w:lineRule="auto"/>
            </w:pPr>
          </w:p>
          <w:p>
            <w:pPr>
              <w:spacing w:before="20" w:after="60" w:line="259" w:lineRule="auto"/>
            </w:pPr>
            <w:r>
              <w:rPr>
                <w:rFonts w:ascii="Calibri" w:hAnsi="Calibri" w:eastAsia="Calibri"/>
                <w:b/>
                <w:color w:val="111111"/>
                <w:sz w:val="17"/>
              </w:rPr>
              <w:t xml:space="preserve">Model coordination: </w:t>
            </w:r>
            <w:r>
              <w:rPr>
                <w:rFonts w:ascii="Calibri" w:hAnsi="Calibri" w:eastAsia="Calibri"/>
                <w:b w:val="0"/>
                <w:color w:val="2A2A2A"/>
                <w:sz w:val="17"/>
              </w:rPr>
              <w:t>Federate disciplines, run clash detection and keep the shared model under version control through design and construction.</w:t>
            </w:r>
          </w:p>
          <w:p>
            <w:pPr>
              <w:spacing w:before="20" w:after="60" w:line="259" w:lineRule="auto"/>
            </w:pPr>
            <w:r>
              <w:rPr>
                <w:rFonts w:ascii="Calibri" w:hAnsi="Calibri" w:eastAsia="Calibri"/>
                <w:b/>
                <w:color w:val="111111"/>
                <w:sz w:val="17"/>
              </w:rPr>
              <w:t xml:space="preserve">Drawing production: </w:t>
            </w:r>
            <w:r>
              <w:rPr>
                <w:rFonts w:ascii="Calibri" w:hAnsi="Calibri" w:eastAsia="Calibri"/>
                <w:b w:val="0"/>
                <w:color w:val="2A2A2A"/>
                <w:sz w:val="17"/>
              </w:rPr>
              <w:t>Extract plans, sections, details and schedules from the model so permit and construction sets stay aligned with the geometry.</w:t>
            </w:r>
          </w:p>
          <w:p>
            <w:pPr>
              <w:spacing w:before="20" w:after="60" w:line="259" w:lineRule="auto"/>
            </w:pPr>
            <w:r>
              <w:rPr>
                <w:rFonts w:ascii="Calibri" w:hAnsi="Calibri" w:eastAsia="Calibri"/>
                <w:b/>
                <w:color w:val="111111"/>
                <w:sz w:val="17"/>
              </w:rPr>
              <w:t xml:space="preserve">Scan to BIM: </w:t>
            </w:r>
            <w:r>
              <w:rPr>
                <w:rFonts w:ascii="Calibri" w:hAnsi="Calibri" w:eastAsia="Calibri"/>
                <w:b w:val="0"/>
                <w:color w:val="2A2A2A"/>
                <w:sz w:val="17"/>
              </w:rPr>
              <w:t>Capture existing conditions with point clouds and convert them into accurate as-built models for renovation, fit-out and verification.</w:t>
            </w:r>
          </w:p>
          <w:p>
            <w:pPr>
              <w:spacing w:before="20" w:after="60" w:line="259" w:lineRule="auto"/>
            </w:pPr>
            <w:r>
              <w:rPr>
                <w:rFonts w:ascii="Calibri" w:hAnsi="Calibri" w:eastAsia="Calibri"/>
                <w:b/>
                <w:color w:val="111111"/>
                <w:sz w:val="17"/>
              </w:rPr>
              <w:t xml:space="preserve">BIM implementation: </w:t>
            </w:r>
            <w:r>
              <w:rPr>
                <w:rFonts w:ascii="Calibri" w:hAnsi="Calibri" w:eastAsia="Calibri"/>
                <w:b w:val="0"/>
                <w:color w:val="2A2A2A"/>
                <w:sz w:val="17"/>
              </w:rPr>
              <w:t>Define BEP, detail matrices, naming and responsibilities—then coach project teams until the workflow holds without constant oversight.</w:t>
            </w:r>
          </w:p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</w:tblPr>
            <w:tblGrid>
              <w:gridCol w:w="5544"/>
            </w:tblGrid>
            <w:tr>
              <w:tc>
                <w:tcPr>
                  <w:tcW w:type="dxa" w:w="5544"/>
                  <w:shd w:fill="001F5C" w:val="clear"/>
                  <w:tcMar>
                    <w:top w:w="40" w:type="dxa"/>
                    <w:bottom w:w="4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 w:line="259" w:lineRule="auto"/>
                  </w:pPr>
                  <w:r>
                    <w:rPr>
                      <w:rFonts w:ascii="Calibri" w:hAnsi="Calibri" w:eastAsia="Calibri"/>
                      <w:b/>
                      <w:color w:val="FFFFFF"/>
                      <w:sz w:val="20"/>
                    </w:rPr>
                    <w:t>PAST PERFORMANCE</w:t>
                  </w:r>
                </w:p>
              </w:tc>
            </w:tr>
          </w:tbl>
          <w:p/>
          <w:p>
            <w:pPr>
              <w:spacing w:before="0" w:after="40" w:line="259" w:lineRule="auto"/>
            </w:pPr>
          </w:p>
          <w:p>
            <w:pPr>
              <w:spacing w:before="20" w:after="60" w:line="259" w:lineRule="auto"/>
            </w:pPr>
            <w:r>
              <w:rPr>
                <w:rFonts w:ascii="Calibri" w:hAnsi="Calibri" w:eastAsia="Calibri"/>
                <w:b/>
                <w:color w:val="111111"/>
                <w:sz w:val="17"/>
              </w:rPr>
              <w:t xml:space="preserve">Commercial office: </w:t>
            </w:r>
            <w:r>
              <w:rPr>
                <w:rFonts w:ascii="Calibri" w:hAnsi="Calibri" w:eastAsia="Calibri"/>
                <w:b w:val="0"/>
                <w:color w:val="2A2A2A"/>
                <w:sz w:val="17"/>
              </w:rPr>
              <w:t>Multidisciplinary federation and weekly clash packages for a dense MEP office fit-out; reduced late design conflicts before CD freeze.</w:t>
            </w:r>
          </w:p>
          <w:p>
            <w:pPr>
              <w:spacing w:before="20" w:after="60" w:line="259" w:lineRule="auto"/>
            </w:pPr>
            <w:r>
              <w:rPr>
                <w:rFonts w:ascii="Calibri" w:hAnsi="Calibri" w:eastAsia="Calibri"/>
                <w:b/>
                <w:color w:val="111111"/>
                <w:sz w:val="17"/>
              </w:rPr>
              <w:t xml:space="preserve">Multifamily housing: </w:t>
            </w:r>
            <w:r>
              <w:rPr>
                <w:rFonts w:ascii="Calibri" w:hAnsi="Calibri" w:eastAsia="Calibri"/>
                <w:b w:val="0"/>
                <w:color w:val="2A2A2A"/>
                <w:sz w:val="17"/>
              </w:rPr>
              <w:t>Corridor MEP coordination and repetitive-unit drawing extraction; aligned sheet sets with the live model through CD.</w:t>
            </w:r>
          </w:p>
          <w:p>
            <w:pPr>
              <w:spacing w:before="20" w:after="60" w:line="259" w:lineRule="auto"/>
            </w:pPr>
            <w:r>
              <w:rPr>
                <w:rFonts w:ascii="Calibri" w:hAnsi="Calibri" w:eastAsia="Calibri"/>
                <w:b/>
                <w:color w:val="111111"/>
                <w:sz w:val="17"/>
              </w:rPr>
              <w:t xml:space="preserve">Industrial facility: </w:t>
            </w:r>
            <w:r>
              <w:rPr>
                <w:rFonts w:ascii="Calibri" w:hAnsi="Calibri" w:eastAsia="Calibri"/>
                <w:b w:val="0"/>
                <w:color w:val="2A2A2A"/>
                <w:sz w:val="17"/>
              </w:rPr>
              <w:t>Equipment clearance modelling and phased coordination reviews; IFC packages handed to the contractor CDE.</w:t>
            </w:r>
          </w:p>
          <w:p>
            <w:pPr>
              <w:spacing w:before="20" w:after="60" w:line="259" w:lineRule="auto"/>
            </w:pPr>
            <w:r>
              <w:rPr>
                <w:rFonts w:ascii="Calibri" w:hAnsi="Calibri" w:eastAsia="Calibri"/>
                <w:b/>
                <w:color w:val="111111"/>
                <w:sz w:val="17"/>
              </w:rPr>
              <w:t xml:space="preserve">Institutional campus: </w:t>
            </w:r>
            <w:r>
              <w:rPr>
                <w:rFonts w:ascii="Calibri" w:hAnsi="Calibri" w:eastAsia="Calibri"/>
                <w:b w:val="0"/>
                <w:color w:val="2A2A2A"/>
                <w:sz w:val="17"/>
              </w:rPr>
              <w:t>Scan to BIM of existing wings plus deviation checks vs design; as-built model used for renovation packages.</w:t>
            </w:r>
          </w:p>
        </w:tc>
        <w:tc>
          <w:tcPr>
            <w:tcW w:type="dxa" w:w="5544"/>
            <w:shd w:fill="FFFFFF" w:val="clear"/>
            <w:tcMar>
              <w:top w:w="60" w:type="dxa"/>
              <w:bottom w:w="40" w:type="dxa"/>
              <w:left w:w="100" w:type="dxa"/>
              <w:right w:w="60" w:type="dxa"/>
            </w:tcMar>
          </w:tcPr>
          <w:p>
            <w:pPr>
              <w:spacing w:before="0" w:after="120" w:line="259" w:lineRule="auto"/>
            </w:pPr>
            <w:r>
              <w:rPr>
                <w:rFonts w:ascii="Calibri" w:hAnsi="Calibri" w:eastAsia="Calibri"/>
                <w:b/>
                <w:color w:val="001F5C"/>
                <w:sz w:val="26"/>
              </w:rPr>
              <w:t>WHY CHOOSE US?</w:t>
            </w:r>
          </w:p>
          <w:p>
            <w:pPr>
              <w:spacing w:before="40" w:after="20" w:line="259" w:lineRule="auto"/>
            </w:pPr>
            <w:r>
              <w:rPr>
                <w:rFonts w:ascii="Calibri" w:hAnsi="Calibri" w:eastAsia="Calibri"/>
                <w:b/>
                <w:color w:val="001F5C"/>
                <w:sz w:val="20"/>
              </w:rPr>
              <w:t>Engineering focus</w:t>
            </w:r>
          </w:p>
          <w:p>
            <w:pPr>
              <w:spacing w:before="0" w:after="100" w:line="259" w:lineRule="auto"/>
            </w:pPr>
            <w:r>
              <w:rPr>
                <w:rFonts w:ascii="Calibri" w:hAnsi="Calibri" w:eastAsia="Calibri"/>
                <w:b w:val="0"/>
                <w:color w:val="2A2A2A"/>
                <w:sz w:val="18"/>
              </w:rPr>
              <w:t>We treat BIM as delivery infrastructure—not visualisation theatre. Models, drawings and CDE rules stay aligned under project pressure.</w:t>
            </w:r>
          </w:p>
          <w:p>
            <w:pPr>
              <w:spacing w:before="40" w:after="20" w:line="259" w:lineRule="auto"/>
            </w:pPr>
            <w:r>
              <w:rPr>
                <w:rFonts w:ascii="Calibri" w:hAnsi="Calibri" w:eastAsia="Calibri"/>
                <w:b/>
                <w:color w:val="001F5C"/>
                <w:sz w:val="20"/>
              </w:rPr>
              <w:t>Federated coordination</w:t>
            </w:r>
          </w:p>
          <w:p>
            <w:pPr>
              <w:spacing w:before="0" w:after="100" w:line="259" w:lineRule="auto"/>
            </w:pPr>
            <w:r>
              <w:rPr>
                <w:rFonts w:ascii="Calibri" w:hAnsi="Calibri" w:eastAsia="Calibri"/>
                <w:b w:val="0"/>
                <w:color w:val="2A2A2A"/>
                <w:sz w:val="18"/>
              </w:rPr>
              <w:t>Discipline overlays, clash detection and issue tracking run as a weekly rhythm so conflicts are closed before documents freeze.</w:t>
            </w:r>
          </w:p>
          <w:p>
            <w:pPr>
              <w:spacing w:before="40" w:after="20" w:line="259" w:lineRule="auto"/>
            </w:pPr>
            <w:r>
              <w:rPr>
                <w:rFonts w:ascii="Calibri" w:hAnsi="Calibri" w:eastAsia="Calibri"/>
                <w:b/>
                <w:color w:val="001F5C"/>
                <w:sz w:val="20"/>
              </w:rPr>
              <w:t>Scan to BIM expertise</w:t>
            </w:r>
          </w:p>
          <w:p>
            <w:pPr>
              <w:spacing w:before="0" w:after="100" w:line="259" w:lineRule="auto"/>
            </w:pPr>
            <w:r>
              <w:rPr>
                <w:rFonts w:ascii="Calibri" w:hAnsi="Calibri" w:eastAsia="Calibri"/>
                <w:b w:val="0"/>
                <w:color w:val="2A2A2A"/>
                <w:sz w:val="18"/>
              </w:rPr>
              <w:t>Point cloud registration and as-built authoring for renovation and verification, with measurable deviation checks vs design.</w:t>
            </w:r>
          </w:p>
          <w:p>
            <w:pPr>
              <w:spacing w:before="40" w:after="20" w:line="259" w:lineRule="auto"/>
            </w:pPr>
            <w:r>
              <w:rPr>
                <w:rFonts w:ascii="Calibri" w:hAnsi="Calibri" w:eastAsia="Calibri"/>
                <w:b/>
                <w:color w:val="001F5C"/>
                <w:sz w:val="20"/>
              </w:rPr>
              <w:t>Process that sticks</w:t>
            </w:r>
          </w:p>
          <w:p>
            <w:pPr>
              <w:spacing w:before="0" w:after="100" w:line="259" w:lineRule="auto"/>
            </w:pPr>
            <w:r>
              <w:rPr>
                <w:rFonts w:ascii="Calibri" w:hAnsi="Calibri" w:eastAsia="Calibri"/>
                <w:b w:val="0"/>
                <w:color w:val="2A2A2A"/>
                <w:sz w:val="18"/>
              </w:rPr>
              <w:t>BEP, naming, RACI and pilot coaching so teams keep the workflow after handoff—not only during our engagement.</w:t>
            </w:r>
          </w:p>
          <w:p>
            <w:pPr>
              <w:spacing w:before="40" w:after="20" w:line="259" w:lineRule="auto"/>
            </w:pPr>
            <w:r>
              <w:rPr>
                <w:rFonts w:ascii="Calibri" w:hAnsi="Calibri" w:eastAsia="Calibri"/>
                <w:b/>
                <w:color w:val="001F5C"/>
                <w:sz w:val="20"/>
              </w:rPr>
              <w:t>EU delivery</w:t>
            </w:r>
          </w:p>
          <w:p>
            <w:pPr>
              <w:spacing w:before="0" w:after="100" w:line="259" w:lineRule="auto"/>
            </w:pPr>
            <w:r>
              <w:rPr>
                <w:rFonts w:ascii="Calibri" w:hAnsi="Calibri" w:eastAsia="Calibri"/>
                <w:b w:val="0"/>
                <w:color w:val="2A2A2A"/>
                <w:sz w:val="18"/>
              </w:rPr>
              <w:t>Warsaw-based, available on-site or remote across the EU for owners, A/E firms and contractors.</w:t>
            </w:r>
          </w:p>
          <w:p>
            <w:pPr>
              <w:spacing w:before="120" w:after="80" w:line="259" w:lineRule="auto"/>
            </w:pPr>
            <w:r>
              <w:rPr>
                <w:rFonts w:ascii="Calibri" w:hAnsi="Calibri" w:eastAsia="Calibri"/>
                <w:b/>
                <w:color w:val="001F5C"/>
                <w:sz w:val="26"/>
              </w:rPr>
              <w:t>OUR DIFFERENTIATORS</w:t>
            </w:r>
          </w:p>
          <w:p>
            <w:pPr>
              <w:pStyle w:val="ListBullet"/>
              <w:spacing w:before="0" w:after="40" w:line="259" w:lineRule="auto"/>
            </w:pPr>
            <w:r>
              <w:rPr>
                <w:rFonts w:ascii="Calibri" w:hAnsi="Calibri" w:eastAsia="Calibri"/>
                <w:b w:val="0"/>
                <w:color w:val="2A2A2A"/>
                <w:sz w:val="18"/>
              </w:rPr>
              <w:t>Model-first drawing production (plans, sections, schedules from the federated model)</w:t>
            </w:r>
          </w:p>
          <w:p>
            <w:pPr>
              <w:pStyle w:val="ListBullet"/>
              <w:spacing w:before="0" w:after="40" w:line="259" w:lineRule="auto"/>
            </w:pPr>
            <w:r>
              <w:rPr>
                <w:rFonts w:ascii="Calibri" w:hAnsi="Calibri" w:eastAsia="Calibri"/>
                <w:b w:val="0"/>
                <w:color w:val="2A2A2A"/>
                <w:sz w:val="18"/>
              </w:rPr>
              <w:t>Clash detection tied to clear tolerances and coordination packages</w:t>
            </w:r>
          </w:p>
          <w:p>
            <w:pPr>
              <w:pStyle w:val="ListBullet"/>
              <w:spacing w:before="0" w:after="40" w:line="259" w:lineRule="auto"/>
            </w:pPr>
            <w:r>
              <w:rPr>
                <w:rFonts w:ascii="Calibri" w:hAnsi="Calibri" w:eastAsia="Calibri"/>
                <w:b w:val="0"/>
                <w:color w:val="2A2A2A"/>
                <w:sz w:val="18"/>
              </w:rPr>
              <w:t>Scan to BIM for existing assets and renovation verification</w:t>
            </w:r>
          </w:p>
          <w:p>
            <w:pPr>
              <w:pStyle w:val="ListBullet"/>
              <w:spacing w:before="0" w:after="40" w:line="259" w:lineRule="auto"/>
            </w:pPr>
            <w:r>
              <w:rPr>
                <w:rFonts w:ascii="Calibri" w:hAnsi="Calibri" w:eastAsia="Calibri"/>
                <w:b w:val="0"/>
                <w:color w:val="2A2A2A"/>
                <w:sz w:val="18"/>
              </w:rPr>
              <w:t>Authoring in Revit · AutoCAD · Tekla; coordination in Navisworks · Solibri</w:t>
            </w:r>
          </w:p>
          <w:p>
            <w:pPr>
              <w:pStyle w:val="ListBullet"/>
              <w:spacing w:before="0" w:after="40" w:line="259" w:lineRule="auto"/>
            </w:pPr>
            <w:r>
              <w:rPr>
                <w:rFonts w:ascii="Calibri" w:hAnsi="Calibri" w:eastAsia="Calibri"/>
                <w:b w:val="0"/>
                <w:color w:val="2A2A2A"/>
                <w:sz w:val="18"/>
              </w:rPr>
              <w:t>CDE setup on Autodesk Construction Cloud / BIM 360</w:t>
            </w:r>
          </w:p>
          <w:p>
            <w:pPr>
              <w:pStyle w:val="ListBullet"/>
              <w:spacing w:before="0" w:after="40" w:line="259" w:lineRule="auto"/>
            </w:pPr>
            <w:r>
              <w:rPr>
                <w:rFonts w:ascii="Calibri" w:hAnsi="Calibri" w:eastAsia="Calibri"/>
                <w:b w:val="0"/>
                <w:color w:val="2A2A2A"/>
                <w:sz w:val="18"/>
              </w:rPr>
              <w:t>Detail-level alignment, IFC exchange and as-built updates</w:t>
            </w:r>
          </w:p>
          <w:p>
            <w:pPr>
              <w:spacing w:before="160" w:after="80" w:line="259" w:lineRule="auto"/>
            </w:pPr>
            <w:r>
              <w:rPr>
                <w:rFonts w:ascii="Calibri" w:hAnsi="Calibri" w:eastAsia="Calibri"/>
                <w:b/>
                <w:color w:val="001F5C"/>
                <w:sz w:val="26"/>
              </w:rPr>
              <w:t>CERTIFICATIONS &amp; PLATFORM</w:t>
            </w:r>
          </w:p>
          <w:p>
            <w:pPr>
              <w:spacing w:before="0" w:after="40" w:line="259" w:lineRule="auto"/>
            </w:pPr>
            <w:r>
              <w:rPr>
                <w:rFonts w:ascii="Calibri" w:hAnsi="Calibri" w:eastAsia="Calibri"/>
                <w:b w:val="0"/>
                <w:color w:val="2A2A2A"/>
                <w:sz w:val="18"/>
              </w:rPr>
              <w:t>•  Authoring: Revit · AutoCAD · Tekla</w:t>
            </w:r>
          </w:p>
          <w:p>
            <w:pPr>
              <w:spacing w:before="0" w:after="40" w:line="259" w:lineRule="auto"/>
            </w:pPr>
            <w:r>
              <w:rPr>
                <w:rFonts w:ascii="Calibri" w:hAnsi="Calibri" w:eastAsia="Calibri"/>
                <w:b w:val="0"/>
                <w:color w:val="2A2A2A"/>
                <w:sz w:val="18"/>
              </w:rPr>
              <w:t>•  Coordination: Navisworks · Solibri</w:t>
            </w:r>
          </w:p>
          <w:p>
            <w:pPr>
              <w:spacing w:before="0" w:after="40" w:line="259" w:lineRule="auto"/>
            </w:pPr>
            <w:r>
              <w:rPr>
                <w:rFonts w:ascii="Calibri" w:hAnsi="Calibri" w:eastAsia="Calibri"/>
                <w:b w:val="0"/>
                <w:color w:val="2A2A2A"/>
                <w:sz w:val="18"/>
              </w:rPr>
              <w:t>•  CDE: Autodesk Construction Cloud / BIM 360</w:t>
            </w:r>
          </w:p>
          <w:p>
            <w:pPr>
              <w:spacing w:before="0" w:after="40" w:line="259" w:lineRule="auto"/>
            </w:pPr>
            <w:r>
              <w:rPr>
                <w:rFonts w:ascii="Calibri" w:hAnsi="Calibri" w:eastAsia="Calibri"/>
                <w:b w:val="0"/>
                <w:color w:val="2A2A2A"/>
                <w:sz w:val="18"/>
              </w:rPr>
              <w:t>•  Exchange: IFC and project-specific deliverable packages</w:t>
            </w:r>
          </w:p>
          <w:p>
            <w:pPr>
              <w:spacing w:before="0" w:after="40" w:line="259" w:lineRule="auto"/>
            </w:pPr>
            <w:r>
              <w:rPr>
                <w:rFonts w:ascii="Calibri" w:hAnsi="Calibri" w:eastAsia="Calibri"/>
                <w:b w:val="0"/>
                <w:color w:val="2A2A2A"/>
                <w:sz w:val="18"/>
              </w:rPr>
              <w:t>•  Sectors: Commercial · Multifamily · Industrial · Institutional</w:t>
            </w:r>
          </w:p>
        </w:tc>
      </w:tr>
    </w:tbl>
    <w:p>
      <w:pPr>
        <w:spacing w:before="120" w:after="0" w:line="259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</w:tblPr>
      <w:tblGrid>
        <w:gridCol w:w="2160"/>
        <w:gridCol w:w="8928"/>
      </w:tblGrid>
      <w:tr>
        <w:tc>
          <w:tcPr>
            <w:tcW w:type="dxa" w:w="5544"/>
            <w:shd w:fill="001F5C" w:val="clear"/>
            <w:tcMar>
              <w:top w:w="80" w:type="dxa"/>
              <w:bottom w:w="80" w:type="dxa"/>
              <w:left w:w="80" w:type="dxa"/>
              <w:right w:w="40" w:type="dxa"/>
            </w:tcMar>
          </w:tcPr>
          <w:p>
            <w:pPr>
              <w:spacing w:before="0" w:after="0" w:line="259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868680" cy="8686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xis_q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868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44"/>
            <w:shd w:fill="001F5C" w:val="clear"/>
            <w:tcMar>
              <w:top w:w="70" w:type="dxa"/>
              <w:bottom w:w="70" w:type="dxa"/>
              <w:left w:w="40" w:type="dxa"/>
              <w:right w:w="80" w:type="dxa"/>
            </w:tcMar>
          </w:tcPr>
          <w:p>
            <w:pPr>
              <w:spacing w:before="0" w:after="40" w:line="259" w:lineRule="auto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 xml:space="preserve">Phone: </w:t>
            </w:r>
            <w:r>
              <w:rPr>
                <w:rFonts w:ascii="Calibri" w:hAnsi="Calibri" w:eastAsia="Calibri"/>
                <w:b w:val="0"/>
                <w:color w:val="E0E8F2"/>
                <w:sz w:val="18"/>
              </w:rPr>
              <w:t>+48 22 555 01 48</w:t>
            </w:r>
          </w:p>
          <w:p>
            <w:pPr>
              <w:spacing w:before="0" w:after="40" w:line="259" w:lineRule="auto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 xml:space="preserve">Email: </w:t>
            </w:r>
            <w:r>
              <w:rPr>
                <w:rFonts w:ascii="Calibri" w:hAnsi="Calibri" w:eastAsia="Calibri"/>
                <w:b w:val="0"/>
                <w:color w:val="E0E8F2"/>
                <w:sz w:val="18"/>
              </w:rPr>
              <w:t>hello@axisbim.com</w:t>
            </w:r>
          </w:p>
          <w:p>
            <w:pPr>
              <w:spacing w:before="0" w:after="40" w:line="259" w:lineRule="auto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 xml:space="preserve">Website: </w:t>
            </w:r>
            <w:r>
              <w:rPr>
                <w:rFonts w:ascii="Calibri" w:hAnsi="Calibri" w:eastAsia="Calibri"/>
                <w:b w:val="0"/>
                <w:color w:val="E0E8F2"/>
                <w:sz w:val="18"/>
              </w:rPr>
              <w:t>axisbim.com</w:t>
            </w:r>
          </w:p>
          <w:p>
            <w:pPr>
              <w:spacing w:before="0" w:after="40" w:line="259" w:lineRule="auto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 xml:space="preserve">Address: </w:t>
            </w:r>
            <w:r>
              <w:rPr>
                <w:rFonts w:ascii="Calibri" w:hAnsi="Calibri" w:eastAsia="Calibri"/>
                <w:b w:val="0"/>
                <w:color w:val="E0E8F2"/>
                <w:sz w:val="18"/>
              </w:rPr>
              <w:t>Warsaw, Poland · EU remote</w:t>
            </w:r>
          </w:p>
        </w:tc>
      </w:tr>
    </w:tbl>
    <w:sectPr w:rsidR="00FC693F" w:rsidRPr="0006063C" w:rsidSect="00034616">
      <w:pgSz w:w="12240" w:h="15840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