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prda5b8g8572" w:id="0"/>
      <w:bookmarkEnd w:id="0"/>
      <w:r w:rsidDel="00000000" w:rsidR="00000000" w:rsidRPr="00000000">
        <w:rPr>
          <w:rtl w:val="0"/>
        </w:rPr>
        <w:t xml:space="preserve">ACTA CONSTITUTIVA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del LAST Lab for Critical AI</w:t>
        <w:br w:type="textWrapping"/>
        <w:t xml:space="preserve">(Latin American SocioTechnical Laboratory for Critical AI and Digital Technologies)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la ciudad de Quito, Ecuador, y en Florencio Varela, Argentina, en fecha ___ de ________ de 2026, se celebra la presente Acta Constitutiva del LAST Lab for Critical AI &amp; Digital Technologies (en adelante, “el Lab”), conforme al Documento </w:t>
      </w:r>
      <w:r w:rsidDel="00000000" w:rsidR="00000000" w:rsidRPr="00000000">
        <w:rPr>
          <w:rtl w:val="0"/>
        </w:rPr>
        <w:t xml:space="preserve">Fundacional y los Estatutos</w:t>
      </w:r>
      <w:r w:rsidDel="00000000" w:rsidR="00000000" w:rsidRPr="00000000">
        <w:rPr>
          <w:rtl w:val="0"/>
        </w:rPr>
        <w:t xml:space="preserve"> aprobados.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7t6779947pc" w:id="1"/>
      <w:bookmarkEnd w:id="1"/>
      <w:r w:rsidDel="00000000" w:rsidR="00000000" w:rsidRPr="00000000">
        <w:rPr>
          <w:rtl w:val="0"/>
        </w:rPr>
        <w:t xml:space="preserve">1. Constitución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constituye el LAST Lab for Critical AI como una red multinodal, binacional y autónoma, integrada por universidades, institutos, organizaciones de la sociedad civil y personas, con el objeto 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Investigar críticamente la inteligencia artificial y las tecnologías digitales, entendiéndolas como configuraciones socio-técnicas de mediación que reestructuran los entornos de acción, conocimiento y reproducción social en América Latina y el Sur Global, generando conocimiento situado y aportes interdisciplinarios.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Formar especialistas y fortalecer capacidades mediante programas, cursos y talleres que articulen perspectivas académicas, técnicas y sociales.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Desarrollar y experimentar con alternativas tecnológicas inclusivas, feministas y críticas, en línea con principios de justicia social, cooperación y autonomía intelectual.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Incidir en los ámbitos políticos, regulatorios y sociales, elaborando informes estratégicos, policy briefs y materiales pedagógicos para decisores públicos, organismos multilaterales y actores privados.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Lab se rige por los principios de ética académica, inclusión, justicia social, no discriminación y autonomía intelectual, y tendrá como ámbito prioritario de acción América Latina y el Sur Global, con apertura a vínculos y colaboraciones internacionales que respeten estos principios.</w:t>
      </w:r>
    </w:p>
    <w:p w:rsidR="00000000" w:rsidDel="00000000" w:rsidP="00000000" w:rsidRDefault="00000000" w:rsidRPr="00000000" w14:paraId="0000000D">
      <w:pPr>
        <w:pStyle w:val="Heading1"/>
        <w:keepNext w:val="0"/>
        <w:spacing w:after="80" w:before="360" w:line="288" w:lineRule="auto"/>
        <w:ind w:left="0"/>
        <w:rPr/>
      </w:pPr>
      <w:bookmarkStart w:colFirst="0" w:colLast="0" w:name="_roqm6w19deyn" w:id="2"/>
      <w:bookmarkEnd w:id="2"/>
      <w:r w:rsidDel="00000000" w:rsidR="00000000" w:rsidRPr="00000000">
        <w:rPr>
          <w:rtl w:val="0"/>
        </w:rPr>
        <w:t xml:space="preserve">2. Nodos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reconocen como nodos del Lab: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Universidad Nacional Arturo Jauretche (UNAJ), Argentina.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Instituto de Estudios Avanzados en Desigualdades (IEAD) – Universidad San Francisco de Quito (USFQ), Ecuador.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Diversa (Quito), organización de la sociedad civil.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los fines estatutarios, se reconoce la condición de “sede formal” del Lab a la UNAJ y al IEAD–USFQ.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7kvw9ky7v6e" w:id="3"/>
      <w:bookmarkEnd w:id="3"/>
      <w:r w:rsidDel="00000000" w:rsidR="00000000" w:rsidRPr="00000000">
        <w:rPr>
          <w:rtl w:val="0"/>
        </w:rPr>
        <w:t xml:space="preserve">3. Dirección General y Direcciones de nodo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Dirección General: Dr. Horacio Correa Lucero.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Dirección del nodo IEAD–USFQ: Dra. Cheryl Martens.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Dirección del nodo UNAJ: Dr. Horacio Correa Lucero.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Representación del nodo Diversa: Dra. Diana Mosquera.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j25p2tylg5cn" w:id="4"/>
      <w:bookmarkEnd w:id="4"/>
      <w:r w:rsidDel="00000000" w:rsidR="00000000" w:rsidRPr="00000000">
        <w:rPr>
          <w:rtl w:val="0"/>
        </w:rPr>
        <w:t xml:space="preserve">4. Consejo Asesor Multinodal (CAM)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constituye el Consejo Asesor Multinodal (CAM), integrado por representantes de los nodos aquí reconocidos, como órgano consultivo de la Dirección General.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7xct6p3zp5ag" w:id="5"/>
      <w:bookmarkEnd w:id="5"/>
      <w:r w:rsidDel="00000000" w:rsidR="00000000" w:rsidRPr="00000000">
        <w:rPr>
          <w:rtl w:val="0"/>
        </w:rPr>
        <w:t xml:space="preserve">5. Aprobación y vigencia de los Estatutos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 aprueban los Estatutos del Lab (versión preliminar septiembre 2025), que se anexan a esta Acta. Su vigencia será inmediata conforme a su aprobación y publicación interna (art. 16.3 de los Estatutos).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tgjxc6z869j" w:id="6"/>
      <w:bookmarkEnd w:id="6"/>
      <w:r w:rsidDel="00000000" w:rsidR="00000000" w:rsidRPr="00000000">
        <w:rPr>
          <w:rtl w:val="0"/>
        </w:rPr>
        <w:t xml:space="preserve">6. Libro de Actas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 dispone la apertura del Libro de Actas (digital y/o físico). Esta Acta constituye la primera acta del Libro. En él se registrarán las decisiones de la Dirección General, las reuniones y consultas del CAM, la admisión de nuevos nodos y las reformas estatutarias y programáticas.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z6zbiib8nbt" w:id="7"/>
      <w:bookmarkEnd w:id="7"/>
      <w:r w:rsidDel="00000000" w:rsidR="00000000" w:rsidRPr="00000000">
        <w:rPr>
          <w:rtl w:val="0"/>
        </w:rPr>
        <w:t xml:space="preserve">7. Entidad administradora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Cada proyecto o convenio del Lab será administrado por la entidad designada ad hoc, conforme a lo previsto en los Estatutos.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969tmdnf9v0d" w:id="8"/>
      <w:bookmarkEnd w:id="8"/>
      <w:r w:rsidDel="00000000" w:rsidR="00000000" w:rsidRPr="00000000">
        <w:rPr>
          <w:rtl w:val="0"/>
        </w:rPr>
        <w:t xml:space="preserve">8. Idioma y denominación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español es el idioma oficial de trabajo del Lab. La denominación en inglés se utiliza con fines de internacionalización; prevalece el español en caso de divergencia.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rw4hijq3gpoo" w:id="9"/>
      <w:bookmarkEnd w:id="9"/>
      <w:r w:rsidDel="00000000" w:rsidR="00000000" w:rsidRPr="00000000">
        <w:rPr>
          <w:rtl w:val="0"/>
        </w:rPr>
        <w:t xml:space="preserve">9. Firma, lugar y medios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Acta se firma en Quito y Florencio Varela, de manera simultánea y mediante medios electrónicos, en fecha ___ de ________ de 2025.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Cláusula sobre las firmas:</w:t>
        <w:br w:type="textWrapping"/>
        <w:t xml:space="preserve">Las firmas podrán realizarse de manera manuscrita en ejemplares separados, o mediante firma electrónica simple, escaneo o equivalente, considerándose todas ellas como partes integrantes y válidas de este acta. A efectos probatorios, bastará la conservación digital del presente documento.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spacing w:after="80" w:before="280" w:line="288" w:lineRule="auto"/>
        <w:ind w:left="0"/>
        <w:rPr/>
      </w:pPr>
      <w:bookmarkStart w:colFirst="0" w:colLast="0" w:name="_m41fmq283xly" w:id="10"/>
      <w:bookmarkEnd w:id="10"/>
      <w:r w:rsidDel="00000000" w:rsidR="00000000" w:rsidRPr="00000000">
        <w:rPr>
          <w:rtl w:val="0"/>
        </w:rPr>
        <w:t xml:space="preserve">Firman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Horacio Correa Lucero</w:t>
        <w:br w:type="textWrapping"/>
        <w:t xml:space="preserve">Director del nodo UNAJ y Director General del LAST Lab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Dra. Cheryl Martens</w:t>
        <w:br w:type="textWrapping"/>
        <w:t xml:space="preserve">Directora del nodo IEAD–USFQ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Sra. Diana Mosquera</w:t>
        <w:br w:type="textWrapping"/>
        <w:t xml:space="preserve">Representante del nodo Diversa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83" w:before="397" w:line="360" w:lineRule="auto"/>
      <w:ind w:left="576" w:hanging="576"/>
      <w:jc w:val="both"/>
    </w:pPr>
    <w:rPr>
      <w:rFonts w:ascii="Arial" w:cs="Arial" w:eastAsia="Arial" w:hAnsi="Arial"/>
      <w:b w:val="1"/>
      <w:bCs w:val="1"/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227" w:before="510" w:line="360" w:lineRule="auto"/>
      <w:ind w:left="720" w:hanging="720"/>
    </w:pPr>
    <w:rPr>
      <w:rFonts w:ascii="Arial" w:cs="Arial" w:eastAsia="Arial" w:hAnsi="Arial"/>
      <w:b w:val="1"/>
      <w:bCs w:val="1"/>
      <w:i w:val="1"/>
      <w:i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136" w:before="510" w:line="480" w:lineRule="auto"/>
      <w:ind w:left="864" w:hanging="864"/>
    </w:pPr>
    <w:rPr>
      <w:rFonts w:ascii="Arial" w:cs="Arial" w:eastAsia="Arial" w:hAnsi="Arial"/>
      <w:b w:val="0"/>
      <w:bCs w:val="0"/>
      <w:i w:val="1"/>
      <w:iCs w:val="1"/>
      <w:color w:val="000000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48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