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spacing w:before="480" w:line="276" w:lineRule="auto"/>
        <w:rPr/>
      </w:pPr>
      <w:bookmarkStart w:colFirst="0" w:colLast="0" w:name="_jsxt3aj0cy3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spacing w:before="480" w:line="276" w:lineRule="auto"/>
        <w:rPr/>
      </w:pPr>
      <w:bookmarkStart w:colFirst="0" w:colLast="0" w:name="_o9s4wz9cre1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spacing w:before="480" w:line="276" w:lineRule="auto"/>
        <w:rPr/>
      </w:pPr>
      <w:bookmarkStart w:colFirst="0" w:colLast="0" w:name="_1z5jqhbu269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spacing w:before="480" w:line="276" w:lineRule="auto"/>
        <w:rPr/>
      </w:pPr>
      <w:bookmarkStart w:colFirst="0" w:colLast="0" w:name="_tdxvxvhktzn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spacing w:before="480" w:line="276" w:lineRule="auto"/>
        <w:rPr>
          <w:sz w:val="24"/>
          <w:szCs w:val="24"/>
        </w:rPr>
      </w:pPr>
      <w:bookmarkStart w:colFirst="0" w:colLast="0" w:name="_mjccxyi440a" w:id="4"/>
      <w:bookmarkEnd w:id="4"/>
      <w:r w:rsidDel="00000000" w:rsidR="00000000" w:rsidRPr="00000000">
        <w:rPr>
          <w:sz w:val="24"/>
          <w:szCs w:val="24"/>
          <w:rtl w:val="0"/>
        </w:rPr>
        <w:t xml:space="preserve">ESTATUTOS DEL LAST LAB FOR CRITICAL AI</w:t>
      </w:r>
    </w:p>
    <w:p w:rsidR="00000000" w:rsidDel="00000000" w:rsidP="00000000" w:rsidRDefault="00000000" w:rsidRPr="00000000" w14:paraId="00000006">
      <w:pPr>
        <w:pStyle w:val="Subtitle"/>
        <w:rPr/>
      </w:pPr>
      <w:bookmarkStart w:colFirst="0" w:colLast="0" w:name="_usuiio6pvaqn" w:id="5"/>
      <w:bookmarkEnd w:id="5"/>
      <w:r w:rsidDel="00000000" w:rsidR="00000000" w:rsidRPr="00000000">
        <w:rPr>
          <w:b w:val="1"/>
          <w:bCs w:val="1"/>
          <w:rtl w:val="0"/>
        </w:rPr>
        <w:t xml:space="preserve">Latin American SocioTechnical Llas tecnologías digitales entendiéndolasaboratory for Critical AI and Digital Technologies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Versión preliminar – septiembre 2025</w:t>
      </w:r>
    </w:p>
    <w:p w:rsidR="00000000" w:rsidDel="00000000" w:rsidP="00000000" w:rsidRDefault="00000000" w:rsidRPr="00000000" w14:paraId="00000008">
      <w:pPr>
        <w:pStyle w:val="Heading2"/>
        <w:keepNext w:val="0"/>
        <w:spacing w:after="80" w:before="360" w:line="276" w:lineRule="auto"/>
        <w:ind w:left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4zty1gpk9nf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jzx9rrun6tzw" w:id="7"/>
      <w:bookmarkEnd w:id="7"/>
      <w:r w:rsidDel="00000000" w:rsidR="00000000" w:rsidRPr="00000000">
        <w:rPr>
          <w:rtl w:val="0"/>
        </w:rPr>
        <w:t xml:space="preserve">Preámbulo</w:t>
      </w:r>
    </w:p>
    <w:p w:rsidR="00000000" w:rsidDel="00000000" w:rsidP="00000000" w:rsidRDefault="00000000" w:rsidRPr="00000000" w14:paraId="0000000A">
      <w:pPr>
        <w:pStyle w:val="Heading2"/>
        <w:spacing w:after="120" w:lineRule="auto"/>
        <w:rPr/>
      </w:pPr>
      <w:bookmarkStart w:colFirst="0" w:colLast="0" w:name="_uoxmbxbcl1e1" w:id="8"/>
      <w:bookmarkEnd w:id="8"/>
      <w:r w:rsidDel="00000000" w:rsidR="00000000" w:rsidRPr="00000000">
        <w:rPr>
          <w:rtl w:val="0"/>
        </w:rPr>
        <w:t xml:space="preserve">El Latin American SocioTechnical Laboratory for Critical AI and Digital Technologies (LAST Lab) se constituye como una red multinodal, interdisciplinaria y autónoma, con nodos fundacionales en el Instituto de Estudios Avanzados en Desigualdades (IEAD–USFQ, Ecuador) y en el Instituto de Ciencias Sociales y Administración (ICSyA–UNAJ, Argentina), e integrada desde sus inicios por organizaciones de la sociedad civil, entre ellas Diversa (Quito).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m0wfx011ondo" w:id="9"/>
      <w:bookmarkEnd w:id="9"/>
      <w:r w:rsidDel="00000000" w:rsidR="00000000" w:rsidRPr="00000000">
        <w:rPr>
          <w:rtl w:val="0"/>
        </w:rPr>
        <w:t xml:space="preserve">El Lab surge en 2024 a partir de iniciativas académicas y del impulso institucional de universidades y organizaciones asociadas, consolidándose en 2025 como un espacio binacional y multinodal que articula universidades, organizaciones sociales, colectivos e investigadores independientes.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jvt768o1zt0x" w:id="10"/>
      <w:bookmarkEnd w:id="10"/>
      <w:r w:rsidDel="00000000" w:rsidR="00000000" w:rsidRPr="00000000">
        <w:rPr>
          <w:rtl w:val="0"/>
        </w:rPr>
        <w:t xml:space="preserve">Su propósito es investigar críticamente la inteligencia artificial y las tecnologías digitales, entendiéndolas como configuraciones socio-técnicas de mediación que reestructuran los entornos de acción, conocimiento y reproducción social en América Latina y el Sur Global, generando conocimiento situado y aportes interdisciplinarios. El LAST Lab combina producción académica rigurosa, innovación tecnológica y acción pública, bajo principios de inclusión, justicia social, cooperación y autonomía intelectual.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dxfa9apkim1g" w:id="11"/>
      <w:bookmarkEnd w:id="11"/>
      <w:r w:rsidDel="00000000" w:rsidR="00000000" w:rsidRPr="00000000">
        <w:rPr>
          <w:rtl w:val="0"/>
        </w:rPr>
        <w:t xml:space="preserve">Art. 1 — Naturaleza, alcance y sede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ga4jxnb7klcs" w:id="12"/>
      <w:bookmarkEnd w:id="12"/>
      <w:r w:rsidDel="00000000" w:rsidR="00000000" w:rsidRPr="00000000">
        <w:rPr>
          <w:rtl w:val="0"/>
        </w:rPr>
        <w:t xml:space="preserve">1.1 El LAST Lab (en adelante, “el Lab”) es una red multinodal de cooperación académica y sociotécnica. Podrá constituirse como persona jurídica propia conforme a la normativa aplicable. Mientras tanto, cada proyecto o convenio se ejecutará a través de una entidad administradora elegida caso por caso.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d9mhvgbiiyi4" w:id="13"/>
      <w:bookmarkEnd w:id="13"/>
      <w:r w:rsidDel="00000000" w:rsidR="00000000" w:rsidRPr="00000000">
        <w:rPr>
          <w:rtl w:val="0"/>
        </w:rPr>
        <w:t xml:space="preserve">1.2 Nodos fundacionales: IEAD–USFQ (Ecuador) e ICSyA–UNAJ (Argentina).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nx9hjf26nb1s" w:id="14"/>
      <w:bookmarkEnd w:id="14"/>
      <w:r w:rsidDel="00000000" w:rsidR="00000000" w:rsidRPr="00000000">
        <w:rPr>
          <w:rtl w:val="0"/>
        </w:rPr>
        <w:t xml:space="preserve">1.3 Ámbito: la red podrá integrar nodos en América Latina y otras regiones, manteniendo el enfoque en América Latina y/o el sur global.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orwycoxsieb1" w:id="15"/>
      <w:bookmarkEnd w:id="15"/>
      <w:r w:rsidDel="00000000" w:rsidR="00000000" w:rsidRPr="00000000">
        <w:rPr>
          <w:rtl w:val="0"/>
        </w:rPr>
        <w:t xml:space="preserve">Art. 2 — Misión y objetivos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yytoc38drcnf" w:id="16"/>
      <w:bookmarkEnd w:id="16"/>
      <w:r w:rsidDel="00000000" w:rsidR="00000000" w:rsidRPr="00000000">
        <w:rPr>
          <w:rtl w:val="0"/>
        </w:rPr>
        <w:t xml:space="preserve">2.1. Misión. Constituir un espacio crítico, interdisciplinario y multinodal, arraigado en la realidad latinoamericana y del sur global, para el análisis, la experimentación y la transformación de la IA y las tecnologías digitales como configuraciones socio-técnicas de mediación; producir conocimiento situado que ilumine dimensiones éticas, políticas, sociales, económicas y culturales; impulsar la formación de especialistas, la innovación técnica con justicia social e incidencia en políticas públicas y privadas.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kjijte6517ze" w:id="17"/>
      <w:bookmarkEnd w:id="17"/>
      <w:r w:rsidDel="00000000" w:rsidR="00000000" w:rsidRPr="00000000">
        <w:rPr>
          <w:rtl w:val="0"/>
        </w:rPr>
        <w:t xml:space="preserve">2.2. Objetivos. El Lab orienta sus acciones a: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qjzafxtn762l" w:id="18"/>
      <w:bookmarkEnd w:id="18"/>
      <w:r w:rsidDel="00000000" w:rsidR="00000000" w:rsidRPr="00000000">
        <w:rPr>
          <w:rtl w:val="0"/>
        </w:rPr>
        <w:t xml:space="preserve">a) Investigación crítica e interdisciplinaria (filosofía, ciencias sociales, estudios de la técnica y aportes técnicos).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8mp39ugi8qpw" w:id="19"/>
      <w:bookmarkEnd w:id="19"/>
      <w:r w:rsidDel="00000000" w:rsidR="00000000" w:rsidRPr="00000000">
        <w:rPr>
          <w:rtl w:val="0"/>
        </w:rPr>
        <w:t xml:space="preserve">b) Formación y capacitación en ética, política y crítica de la IA (estudiantes, investigadores, profesionales y público).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37aguxtgbw4s" w:id="20"/>
      <w:bookmarkEnd w:id="20"/>
      <w:r w:rsidDel="00000000" w:rsidR="00000000" w:rsidRPr="00000000">
        <w:rPr>
          <w:rtl w:val="0"/>
        </w:rPr>
        <w:t xml:space="preserve">c) Incidencia política, regulatoria y social (informes estratégicos, policy briefs, white papers, materiales pedagógicos).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k6fb9wqhzh9f" w:id="21"/>
      <w:bookmarkEnd w:id="21"/>
      <w:r w:rsidDel="00000000" w:rsidR="00000000" w:rsidRPr="00000000">
        <w:rPr>
          <w:rtl w:val="0"/>
        </w:rPr>
        <w:t xml:space="preserve">d) Desarrollo y prototipado de alternativas tecnológicas inclusivas, feministas y críticas.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hvgld4bw9b5f" w:id="22"/>
      <w:bookmarkEnd w:id="22"/>
      <w:r w:rsidDel="00000000" w:rsidR="00000000" w:rsidRPr="00000000">
        <w:rPr>
          <w:rtl w:val="0"/>
        </w:rPr>
        <w:t xml:space="preserve">e) Producción editorial y divulgativa de acceso abierto cuando sea posible.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q11ofcvpqgur" w:id="23"/>
      <w:bookmarkEnd w:id="23"/>
      <w:r w:rsidDel="00000000" w:rsidR="00000000" w:rsidRPr="00000000">
        <w:rPr>
          <w:rtl w:val="0"/>
        </w:rPr>
        <w:t xml:space="preserve">f) Cartografías y análisis de datos que visibilicen desigualdades y dinámicas tecnológicas.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cyqh6ssvmo4z" w:id="24"/>
      <w:bookmarkEnd w:id="24"/>
      <w:r w:rsidDel="00000000" w:rsidR="00000000" w:rsidRPr="00000000">
        <w:rPr>
          <w:rtl w:val="0"/>
        </w:rPr>
        <w:t xml:space="preserve">g) Exploración de modelos organizativos alternativos, como cooperativas tecnológicas y redes colaborativas.</w:t>
      </w:r>
    </w:p>
    <w:p w:rsidR="00000000" w:rsidDel="00000000" w:rsidP="00000000" w:rsidRDefault="00000000" w:rsidRPr="00000000" w14:paraId="0000001B">
      <w:pPr>
        <w:pStyle w:val="Heading1"/>
        <w:ind w:left="0" w:firstLine="0"/>
        <w:rPr/>
      </w:pPr>
      <w:bookmarkStart w:colFirst="0" w:colLast="0" w:name="_5kp6fefld2od" w:id="25"/>
      <w:bookmarkEnd w:id="25"/>
      <w:r w:rsidDel="00000000" w:rsidR="00000000" w:rsidRPr="00000000">
        <w:rPr>
          <w:rtl w:val="0"/>
        </w:rPr>
        <w:t xml:space="preserve">Art. 2 bis — Visión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vl4aw4qtm7bu" w:id="26"/>
      <w:bookmarkEnd w:id="26"/>
      <w:r w:rsidDel="00000000" w:rsidR="00000000" w:rsidRPr="00000000">
        <w:rPr>
          <w:rtl w:val="0"/>
        </w:rPr>
        <w:t xml:space="preserve">El LAST Lab aspira a consolidarse como referente regional y global en la producción de investigación crítica, en la formación de especialistas y en la elaboración de propuestas estratégicas que permitan comprender y enfrentar los desafíos de la inteligencia artificial y las tecnologías digitales en América Latina y el sur global.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luw1n2rebkr1" w:id="27"/>
      <w:bookmarkEnd w:id="27"/>
      <w:r w:rsidDel="00000000" w:rsidR="00000000" w:rsidRPr="00000000">
        <w:rPr>
          <w:rtl w:val="0"/>
        </w:rPr>
        <w:t xml:space="preserve">Art. 3 — Definiciones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69wlg6nx6j6q" w:id="28"/>
      <w:bookmarkEnd w:id="28"/>
      <w:r w:rsidDel="00000000" w:rsidR="00000000" w:rsidRPr="00000000">
        <w:rPr>
          <w:rtl w:val="0"/>
        </w:rPr>
        <w:t xml:space="preserve">3.1. Nodo: Unidad de participación en la red. Puede ser: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nmsznfo4itnu" w:id="29"/>
      <w:bookmarkEnd w:id="29"/>
      <w:r w:rsidDel="00000000" w:rsidR="00000000" w:rsidRPr="00000000">
        <w:rPr>
          <w:rtl w:val="0"/>
        </w:rPr>
        <w:t xml:space="preserve">a) Institucional: Universidad, instituto o centro de investigación.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eld0x4cjhsly" w:id="30"/>
      <w:bookmarkEnd w:id="30"/>
      <w:r w:rsidDel="00000000" w:rsidR="00000000" w:rsidRPr="00000000">
        <w:rPr>
          <w:rtl w:val="0"/>
        </w:rPr>
        <w:t xml:space="preserve">b) Organizacional: ONG, colectivo u organización de la sociedad civil.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tqyjc3nwsip4" w:id="31"/>
      <w:bookmarkEnd w:id="31"/>
      <w:r w:rsidDel="00000000" w:rsidR="00000000" w:rsidRPr="00000000">
        <w:rPr>
          <w:rtl w:val="0"/>
        </w:rPr>
        <w:t xml:space="preserve">c) Individual: Persona que se incorpora a título personal, constituyendo un nodo propio.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rugr8ibed80e" w:id="32"/>
      <w:bookmarkEnd w:id="32"/>
      <w:r w:rsidDel="00000000" w:rsidR="00000000" w:rsidRPr="00000000">
        <w:rPr>
          <w:rtl w:val="0"/>
        </w:rPr>
        <w:t xml:space="preserve">3.2. Miembro: Persona adscripta a un nodo. Se distinguen: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gkwm0mz3tl1f" w:id="33"/>
      <w:bookmarkEnd w:id="33"/>
      <w:r w:rsidDel="00000000" w:rsidR="00000000" w:rsidRPr="00000000">
        <w:rPr>
          <w:rtl w:val="0"/>
        </w:rPr>
        <w:t xml:space="preserve">a) Miembro institucional/organizacional: Integra un nodo colectivo y lo representa o participa en sus actividades.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lcbj4l5qmf2i" w:id="34"/>
      <w:bookmarkEnd w:id="34"/>
      <w:r w:rsidDel="00000000" w:rsidR="00000000" w:rsidRPr="00000000">
        <w:rPr>
          <w:rtl w:val="0"/>
        </w:rPr>
        <w:t xml:space="preserve">b) Miembro individual: Integra el Lab en calidad de nodo propio y se representa a sí mismo.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ybd7qiawb0li" w:id="35"/>
      <w:bookmarkEnd w:id="35"/>
      <w:r w:rsidDel="00000000" w:rsidR="00000000" w:rsidRPr="00000000">
        <w:rPr>
          <w:rtl w:val="0"/>
        </w:rPr>
        <w:t xml:space="preserve">3.3. Representante de nodo: Miembro designado formalmente por un nodo para ejercer su representación en espacios consultivos del Lab.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vyckwpdtjru1" w:id="36"/>
      <w:bookmarkEnd w:id="36"/>
      <w:r w:rsidDel="00000000" w:rsidR="00000000" w:rsidRPr="00000000">
        <w:rPr>
          <w:rtl w:val="0"/>
        </w:rPr>
        <w:t xml:space="preserve">3.4. Dirección General: Conducción académica, estratégica y de formación del Lab, ejercida por la persona designada en el Acta Constitutiva.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9064hv78hldh" w:id="37"/>
      <w:bookmarkEnd w:id="37"/>
      <w:r w:rsidDel="00000000" w:rsidR="00000000" w:rsidRPr="00000000">
        <w:rPr>
          <w:rtl w:val="0"/>
        </w:rPr>
        <w:t xml:space="preserve">3.5. Dirección de nodo: Figura aplicable únicamente a los nodos institucionales que hayan sido reconocidos como sede formal del Lab. El carácter de sede formal se establecerá en el Acta Constitutiva o en instrumentos complementarios aprobados por la Dirección General con consulta al CAM. La persona a cargo de cada Dirección de nodo será designada en el Acta Constitutiva correspondiente. Los demás nodos —institucionales que no constituyan sede, organizacionales o individuales— estarán representados por un representante de nodo, sin constituir Dirección de nodo.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burhrb7liaet" w:id="38"/>
      <w:bookmarkEnd w:id="38"/>
      <w:r w:rsidDel="00000000" w:rsidR="00000000" w:rsidRPr="00000000">
        <w:rPr>
          <w:rtl w:val="0"/>
        </w:rPr>
        <w:t xml:space="preserve">3.6. Consejo Asesor Multinodal (CAM): Ógano consultivo y no vinculante integrado por representantes de nodos, que acompaña, recomienda y propone iniciativas a la Dirección General.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phtb2qbh2g8h" w:id="39"/>
      <w:bookmarkEnd w:id="39"/>
      <w:r w:rsidDel="00000000" w:rsidR="00000000" w:rsidRPr="00000000">
        <w:rPr>
          <w:rtl w:val="0"/>
        </w:rPr>
        <w:t xml:space="preserve">3.7. Entidad administradora: Institución (p. ej., universidad, fundación) que gestiona fondos y obligaciones fiduciarias de un proyecto o convenio específico.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83otxjl1ta9" w:id="40"/>
      <w:bookmarkEnd w:id="40"/>
      <w:r w:rsidDel="00000000" w:rsidR="00000000" w:rsidRPr="00000000">
        <w:rPr>
          <w:rtl w:val="0"/>
        </w:rPr>
        <w:t xml:space="preserve">Art. 4 — Nodos: admisión, derechos y obligaciones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23isc1er9t7l" w:id="41"/>
      <w:bookmarkEnd w:id="41"/>
      <w:r w:rsidDel="00000000" w:rsidR="00000000" w:rsidRPr="00000000">
        <w:rPr>
          <w:rtl w:val="0"/>
        </w:rPr>
        <w:t xml:space="preserve">4.1. Requisitos: Adhesión a los principios del Lab, aceptación de estos Estatutos y compromiso operativo mínimo.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q45lyecmkj5j" w:id="42"/>
      <w:bookmarkEnd w:id="42"/>
      <w:r w:rsidDel="00000000" w:rsidR="00000000" w:rsidRPr="00000000">
        <w:rPr>
          <w:rtl w:val="0"/>
        </w:rPr>
        <w:t xml:space="preserve">4.2. Admisión: Decidida por la Dirección General, previa consulta al CAM; cuyas observaciones deberán ser consideradas de manera fundada; se deja constancia en acta.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pqwxy0tme6j2" w:id="43"/>
      <w:bookmarkEnd w:id="43"/>
      <w:r w:rsidDel="00000000" w:rsidR="00000000" w:rsidRPr="00000000">
        <w:rPr>
          <w:rtl w:val="0"/>
        </w:rPr>
        <w:t xml:space="preserve">4.3. Retiro y suspensión: Cualquier nodo puede retirarse mediante notificación a la Dirección General. La Dirección General podrá suspender o excluir nodos por violación grave de principios, conflicto de interés no gestionado o inactividad reiterada. Se otorgará audiencia previa y la decisión fundada se comunicará por escrito.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r9o4dqu9bhpu" w:id="44"/>
      <w:bookmarkEnd w:id="44"/>
      <w:r w:rsidDel="00000000" w:rsidR="00000000" w:rsidRPr="00000000">
        <w:rPr>
          <w:rtl w:val="0"/>
        </w:rPr>
        <w:t xml:space="preserve">4.4. Compromisos mínimos: Participación en 2/3 de reuniones consultivas convocadas; designar representante y suplente; cumplir políticas internas. La inasistencia reiterada habilita declaración de inactividad.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6fk9fa18b6md" w:id="45"/>
      <w:bookmarkEnd w:id="45"/>
      <w:r w:rsidDel="00000000" w:rsidR="00000000" w:rsidRPr="00000000">
        <w:rPr>
          <w:rtl w:val="0"/>
        </w:rPr>
        <w:t xml:space="preserve">4.5. Derechos: voz en el CAM; elegibilidad para coordinaciones temáticas; visibilización como nodo del Lab.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8fb50u9pm4mu" w:id="46"/>
      <w:bookmarkEnd w:id="46"/>
      <w:r w:rsidDel="00000000" w:rsidR="00000000" w:rsidRPr="00000000">
        <w:rPr>
          <w:rtl w:val="0"/>
        </w:rPr>
        <w:t xml:space="preserve">Art. 5 — Dirección General y Direcciones de nodo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gq7rhy9u0o1" w:id="47"/>
      <w:bookmarkEnd w:id="47"/>
      <w:r w:rsidDel="00000000" w:rsidR="00000000" w:rsidRPr="00000000">
        <w:rPr>
          <w:rtl w:val="0"/>
        </w:rPr>
        <w:t xml:space="preserve">5.1. Dirección General: Ejercida por la persona designada en el Acta Constitutiva, responsable de la conducción estratégica, académica y de formación. 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rhe8qjv5diuu" w:id="48"/>
      <w:bookmarkEnd w:id="48"/>
      <w:r w:rsidDel="00000000" w:rsidR="00000000" w:rsidRPr="00000000">
        <w:rPr>
          <w:rtl w:val="0"/>
        </w:rPr>
        <w:t xml:space="preserve">Competencias: Definir agenda; aprobar proyectos, convenios y alianzas; aprobar uso de marca y políticas internas; admitir/suspender/excluir nodos y miembros; designar coordinaciones temáticas; convocar y presidir el CAM. 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2wsbkq4xfmby" w:id="49"/>
      <w:bookmarkEnd w:id="49"/>
      <w:r w:rsidDel="00000000" w:rsidR="00000000" w:rsidRPr="00000000">
        <w:rPr>
          <w:rtl w:val="0"/>
        </w:rPr>
        <w:t xml:space="preserve">En los casos de admisión, suspensión o exclusión de nodos, así como en la aprobación de convenios marco con terceros, la decisión deberá contar con consulta vinculante al CAM, dejando constancia fundada en acta.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32bbl24ue3f6" w:id="50"/>
      <w:bookmarkEnd w:id="50"/>
      <w:r w:rsidDel="00000000" w:rsidR="00000000" w:rsidRPr="00000000">
        <w:rPr>
          <w:rtl w:val="0"/>
        </w:rPr>
        <w:t xml:space="preserve">Estas competencias podrán ser ejercidas directamente o mediante órganos que se constituyan en el futuro, según lo disponga la Dirección General con consulta al CAM.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ukxz1qgkdy5d" w:id="51"/>
      <w:bookmarkEnd w:id="51"/>
      <w:r w:rsidDel="00000000" w:rsidR="00000000" w:rsidRPr="00000000">
        <w:rPr>
          <w:rtl w:val="0"/>
        </w:rPr>
        <w:t xml:space="preserve">5.2. Direcciones de nodo: ejercidas por las personas designadas en el Acta Constitutiva, con facultades de representación institucional y coordinación local en cada sede.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w0vlxnlsqusy" w:id="52"/>
      <w:bookmarkEnd w:id="52"/>
      <w:r w:rsidDel="00000000" w:rsidR="00000000" w:rsidRPr="00000000">
        <w:rPr>
          <w:rtl w:val="0"/>
        </w:rPr>
        <w:t xml:space="preserve">5.3. Suplencias y delegaciones: la Dirección General puede designar suplencias temporales y delegar funciones específicas por acto escrito, manteniendo la responsabilidad última.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osi9n2hgsma" w:id="53"/>
      <w:bookmarkEnd w:id="53"/>
      <w:r w:rsidDel="00000000" w:rsidR="00000000" w:rsidRPr="00000000">
        <w:rPr>
          <w:rtl w:val="0"/>
        </w:rPr>
        <w:t xml:space="preserve">Art. 6 — Consejo Asesor Multinodal (CAM)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w8fi287vag5h" w:id="54"/>
      <w:bookmarkEnd w:id="54"/>
      <w:r w:rsidDel="00000000" w:rsidR="00000000" w:rsidRPr="00000000">
        <w:rPr>
          <w:rtl w:val="0"/>
        </w:rPr>
        <w:t xml:space="preserve">6.1. Composición: Un representante por nodo (titular y, opcionalmente, suplente).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r772pycmqd6b" w:id="55"/>
      <w:bookmarkEnd w:id="55"/>
      <w:r w:rsidDel="00000000" w:rsidR="00000000" w:rsidRPr="00000000">
        <w:rPr>
          <w:rtl w:val="0"/>
        </w:rPr>
        <w:t xml:space="preserve">6.2. Carácter: Órgano consultivo de la Dirección General. Sus recomendaciones son no vinculantes, salvo en los casos expresamente previstos en estos Estatutos, en los que su consulta tendrá carácter vinculante.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vzjou6okss7n" w:id="56"/>
      <w:bookmarkEnd w:id="56"/>
      <w:r w:rsidDel="00000000" w:rsidR="00000000" w:rsidRPr="00000000">
        <w:rPr>
          <w:rtl w:val="0"/>
        </w:rPr>
        <w:t xml:space="preserve">6.3. Funciones: Asesorar en agenda; emitir recomendaciones; proponer proyectos; acompañar resolución temprana de conflictos.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98w008icyyq9" w:id="57"/>
      <w:bookmarkEnd w:id="57"/>
      <w:r w:rsidDel="00000000" w:rsidR="00000000" w:rsidRPr="00000000">
        <w:rPr>
          <w:rtl w:val="0"/>
        </w:rPr>
        <w:t xml:space="preserve">6.4. Reuniones: Al menos trimestrales, convocadas por la Dirección General; podrán ser virtuales.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cp096wdtd59e" w:id="58"/>
      <w:bookmarkEnd w:id="58"/>
      <w:r w:rsidDel="00000000" w:rsidR="00000000" w:rsidRPr="00000000">
        <w:rPr>
          <w:rtl w:val="0"/>
        </w:rPr>
        <w:t xml:space="preserve">6.5. Recomendaciones: Se procurará consenso; en su defecto, mayoría simple. Sus recomendaciones serán de carácter no vinculante, salvo en los casos expresamente previstos en estos Estatutos, donde tendrán carácter vinculante.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csupmloloj4p" w:id="59"/>
      <w:bookmarkEnd w:id="59"/>
      <w:r w:rsidDel="00000000" w:rsidR="00000000" w:rsidRPr="00000000">
        <w:rPr>
          <w:rtl w:val="0"/>
        </w:rPr>
        <w:t xml:space="preserve">6.6. Actas y publicidad: Se levantará acta; se publicará un resumen salvo contenido sensible.</w:t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pts1ph43ve6r" w:id="60"/>
      <w:bookmarkEnd w:id="60"/>
      <w:r w:rsidDel="00000000" w:rsidR="00000000" w:rsidRPr="00000000">
        <w:rPr>
          <w:rtl w:val="0"/>
        </w:rPr>
        <w:t xml:space="preserve">Art. 7 — Reuniones, consultas y actas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vsntyvdlsq84" w:id="61"/>
      <w:bookmarkEnd w:id="61"/>
      <w:r w:rsidDel="00000000" w:rsidR="00000000" w:rsidRPr="00000000">
        <w:rPr>
          <w:rtl w:val="0"/>
        </w:rPr>
        <w:t xml:space="preserve">7.1. La Dirección General podrá realizar consultas electrónicas para recibir recomendaciones del CAM (plazo mínimo: 72 h).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rpqaiunanu3m" w:id="62"/>
      <w:bookmarkEnd w:id="62"/>
      <w:r w:rsidDel="00000000" w:rsidR="00000000" w:rsidRPr="00000000">
        <w:rPr>
          <w:rtl w:val="0"/>
        </w:rPr>
        <w:t xml:space="preserve">7.2. Toda reunión o consulta generará registro interno; se publicará un resumen anual de actividades y acuerdos.</w:t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1b4ftr3len6a" w:id="63"/>
      <w:bookmarkEnd w:id="63"/>
      <w:r w:rsidDel="00000000" w:rsidR="00000000" w:rsidRPr="00000000">
        <w:rPr>
          <w:rtl w:val="0"/>
        </w:rPr>
        <w:t xml:space="preserve">Art. 8 — Ética, independencia y conflictos de interés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piq4a3452u6q" w:id="64"/>
      <w:bookmarkEnd w:id="64"/>
      <w:r w:rsidDel="00000000" w:rsidR="00000000" w:rsidRPr="00000000">
        <w:rPr>
          <w:rtl w:val="0"/>
        </w:rPr>
        <w:t xml:space="preserve">8.1. Principios: Ética académica, justicia social, inclusión, no discriminación, antiacoso, protección de datos.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7hmu9bgm95oe" w:id="65"/>
      <w:bookmarkEnd w:id="65"/>
      <w:r w:rsidDel="00000000" w:rsidR="00000000" w:rsidRPr="00000000">
        <w:rPr>
          <w:rtl w:val="0"/>
        </w:rPr>
        <w:t xml:space="preserve">8.2. Independencia: No se aceptarán condicionamientos que comprometan agenda, metodología o resultados.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51fxkqed4sfg" w:id="66"/>
      <w:bookmarkEnd w:id="66"/>
      <w:r w:rsidDel="00000000" w:rsidR="00000000" w:rsidRPr="00000000">
        <w:rPr>
          <w:rtl w:val="0"/>
        </w:rPr>
        <w:t xml:space="preserve">8.3. Conflictos de interés: Los representantes declararán intereses relevantes; deberán excusarse en caso de conflicto directo. La Dirección General podrá adoptar medidas de mitigación.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vbqrut8zbege" w:id="67"/>
      <w:bookmarkEnd w:id="67"/>
      <w:r w:rsidDel="00000000" w:rsidR="00000000" w:rsidRPr="00000000">
        <w:rPr>
          <w:rtl w:val="0"/>
        </w:rPr>
        <w:t xml:space="preserve">Art. 9 — Propiedad intelectual, datos y publicaciones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jvo16jyarv7j" w:id="68"/>
      <w:bookmarkEnd w:id="68"/>
      <w:r w:rsidDel="00000000" w:rsidR="00000000" w:rsidRPr="00000000">
        <w:rPr>
          <w:rtl w:val="0"/>
        </w:rPr>
        <w:t xml:space="preserve">9.1. Autoría por contribución efectiva; reconocimiento de co-creación cuando corresponda.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l4qzykwgs59h" w:id="69"/>
      <w:bookmarkEnd w:id="69"/>
      <w:r w:rsidDel="00000000" w:rsidR="00000000" w:rsidRPr="00000000">
        <w:rPr>
          <w:rtl w:val="0"/>
        </w:rPr>
        <w:t xml:space="preserve">9.2. Titularidad: la IP se asignará a quienes la produzcan según lo pactado; el Lab podrá retener licencia no exclusiva para visibilización institucional.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miym639duyhw" w:id="70"/>
      <w:bookmarkEnd w:id="70"/>
      <w:r w:rsidDel="00000000" w:rsidR="00000000" w:rsidRPr="00000000">
        <w:rPr>
          <w:rtl w:val="0"/>
        </w:rPr>
        <w:t xml:space="preserve">9.3. Acceso abierto: preferencia por licencias abiertas cuando sea posible.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kjizn7z01cil" w:id="71"/>
      <w:bookmarkEnd w:id="71"/>
      <w:r w:rsidDel="00000000" w:rsidR="00000000" w:rsidRPr="00000000">
        <w:rPr>
          <w:rtl w:val="0"/>
        </w:rPr>
        <w:t xml:space="preserve">9.4. Datos sensibles: manejo conforme a la legislación aplicable y políticas internas.</w:t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7pqb1ci74nbo" w:id="72"/>
      <w:bookmarkEnd w:id="72"/>
      <w:r w:rsidDel="00000000" w:rsidR="00000000" w:rsidRPr="00000000">
        <w:rPr>
          <w:rtl w:val="0"/>
        </w:rPr>
        <w:t xml:space="preserve">Art. 10 — Marca, imagen y comunicaciones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bbcv7vnva2d0" w:id="73"/>
      <w:bookmarkEnd w:id="73"/>
      <w:r w:rsidDel="00000000" w:rsidR="00000000" w:rsidRPr="00000000">
        <w:rPr>
          <w:rtl w:val="0"/>
        </w:rPr>
        <w:t xml:space="preserve">10.1. Los signos distintivos del Lab son bienes comunes; su uso requiere cumplir el manual de marca aprobado por la Dirección General.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phfl58ylsoed" w:id="74"/>
      <w:bookmarkEnd w:id="74"/>
      <w:r w:rsidDel="00000000" w:rsidR="00000000" w:rsidRPr="00000000">
        <w:rPr>
          <w:rtl w:val="0"/>
        </w:rPr>
        <w:t xml:space="preserve">10.2. Proyectos con terceros deberán incluir cláusulas de uso de marca.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aolhmtbpg3uv" w:id="75"/>
      <w:bookmarkEnd w:id="75"/>
      <w:r w:rsidDel="00000000" w:rsidR="00000000" w:rsidRPr="00000000">
        <w:rPr>
          <w:rtl w:val="0"/>
        </w:rPr>
        <w:t xml:space="preserve">10.3. La representación pública corresponde a la Dirección General o a quienes designe.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l63bmyo2re74" w:id="76"/>
      <w:bookmarkEnd w:id="76"/>
      <w:r w:rsidDel="00000000" w:rsidR="00000000" w:rsidRPr="00000000">
        <w:rPr>
          <w:rtl w:val="0"/>
        </w:rPr>
        <w:t xml:space="preserve">Art. 11 — Financiamiento, membresía y transparencia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baqha66hg94s" w:id="77"/>
      <w:bookmarkEnd w:id="77"/>
      <w:r w:rsidDel="00000000" w:rsidR="00000000" w:rsidRPr="00000000">
        <w:rPr>
          <w:rtl w:val="0"/>
        </w:rPr>
        <w:t xml:space="preserve">11.1. Fuentes: Convocatorias, convenios, alianzas, RSC, donaciones, patrocinios, cursos o programas de estudios y cualquier otra fuente lícita compatible con los principios del Lab.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1o3e2cptryc5" w:id="78"/>
      <w:bookmarkEnd w:id="78"/>
      <w:r w:rsidDel="00000000" w:rsidR="00000000" w:rsidRPr="00000000">
        <w:rPr>
          <w:rtl w:val="0"/>
        </w:rPr>
        <w:t xml:space="preserve">11.2. Entidad administradora: Cada proyecto definirá la institución administradora de fondos.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dyo5zpqm5h0s" w:id="79"/>
      <w:bookmarkEnd w:id="79"/>
      <w:r w:rsidDel="00000000" w:rsidR="00000000" w:rsidRPr="00000000">
        <w:rPr>
          <w:rtl w:val="0"/>
        </w:rPr>
        <w:t xml:space="preserve">11.3. Membresía: La pertenencia no depende del pago de cuotas.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zep8rnh66gc6" w:id="80"/>
      <w:bookmarkEnd w:id="80"/>
      <w:r w:rsidDel="00000000" w:rsidR="00000000" w:rsidRPr="00000000">
        <w:rPr>
          <w:rtl w:val="0"/>
        </w:rPr>
        <w:t xml:space="preserve">11.4. Membresía de apoyo: Voluntaria, individual o institucional, sin privilegios de representación o voto; reconocida públicamente.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wgvillui41tz" w:id="81"/>
      <w:bookmarkEnd w:id="81"/>
      <w:r w:rsidDel="00000000" w:rsidR="00000000" w:rsidRPr="00000000">
        <w:rPr>
          <w:rtl w:val="0"/>
        </w:rPr>
        <w:t xml:space="preserve">11.5. Controles: Todo gasto seguirá normas de la entidad administradora y políticas aprobadas por la Dirección General.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y3kkgys8rz1h" w:id="82"/>
      <w:bookmarkEnd w:id="82"/>
      <w:r w:rsidDel="00000000" w:rsidR="00000000" w:rsidRPr="00000000">
        <w:rPr>
          <w:rtl w:val="0"/>
        </w:rPr>
        <w:t xml:space="preserve">11.6. Transparencia: Publicación anual de fuentes principales de financiamiento y estado agregado de ejecución.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fx2da9uwyql3" w:id="83"/>
      <w:bookmarkEnd w:id="83"/>
      <w:r w:rsidDel="00000000" w:rsidR="00000000" w:rsidRPr="00000000">
        <w:rPr>
          <w:rtl w:val="0"/>
        </w:rPr>
        <w:t xml:space="preserve">Art. 12 — Políticas internas específicas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7rvrrehn0elf" w:id="84"/>
      <w:bookmarkEnd w:id="84"/>
      <w:r w:rsidDel="00000000" w:rsidR="00000000" w:rsidRPr="00000000">
        <w:rPr>
          <w:rtl w:val="0"/>
        </w:rPr>
        <w:t xml:space="preserve">12.1. La Dirección General aprobará y actualizará políticas anexas, previa consulta al CAM: Ética de investigación, protección de datos, autoría y publicaciones, marca e imagen, colaboración con empresas, archivo y preservación, código de conducta y protocolo antiacoso, entre otras que disponga.</w:t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4l8k5nqb0ndg" w:id="85"/>
      <w:bookmarkEnd w:id="85"/>
      <w:r w:rsidDel="00000000" w:rsidR="00000000" w:rsidRPr="00000000">
        <w:rPr>
          <w:rtl w:val="0"/>
        </w:rPr>
        <w:t xml:space="preserve">Art. 13 — Admisión y retiro de miembros individuales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d8nbpbv6ejql" w:id="86"/>
      <w:bookmarkEnd w:id="86"/>
      <w:r w:rsidDel="00000000" w:rsidR="00000000" w:rsidRPr="00000000">
        <w:rPr>
          <w:rtl w:val="0"/>
        </w:rPr>
        <w:t xml:space="preserve">13.1. Los miembros individuales se incorporan por solicitud avalada por un nodo o por invitación de la Dirección General; esta decide la admisión.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z704hxdedyfy" w:id="87"/>
      <w:bookmarkEnd w:id="87"/>
      <w:r w:rsidDel="00000000" w:rsidR="00000000" w:rsidRPr="00000000">
        <w:rPr>
          <w:rtl w:val="0"/>
        </w:rPr>
        <w:t xml:space="preserve">13.2. Retiro: Notificación a la Dirección General. Se mantienen derechos morales sobre obras y créditos.</w:t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6ztb8oo7cunr" w:id="88"/>
      <w:bookmarkEnd w:id="88"/>
      <w:r w:rsidDel="00000000" w:rsidR="00000000" w:rsidRPr="00000000">
        <w:rPr>
          <w:rtl w:val="0"/>
        </w:rPr>
        <w:t xml:space="preserve">Art. 14 — Lenguas, interpretaciones y jerarquía normativa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2vr1jz62w8i3" w:id="89"/>
      <w:bookmarkEnd w:id="89"/>
      <w:r w:rsidDel="00000000" w:rsidR="00000000" w:rsidRPr="00000000">
        <w:rPr>
          <w:rtl w:val="0"/>
        </w:rPr>
        <w:t xml:space="preserve">14.1. Idiomas de trabajo: Español (oficial) e inglés (traducción de cortesía). Prevalece el español.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ilgvv9uccjx" w:id="90"/>
      <w:bookmarkEnd w:id="90"/>
      <w:r w:rsidDel="00000000" w:rsidR="00000000" w:rsidRPr="00000000">
        <w:rPr>
          <w:rtl w:val="0"/>
        </w:rPr>
        <w:t xml:space="preserve">14.2. Estos </w:t>
      </w:r>
      <w:r w:rsidDel="00000000" w:rsidR="00000000" w:rsidRPr="00000000">
        <w:rPr>
          <w:i w:val="1"/>
          <w:iCs w:val="1"/>
          <w:rtl w:val="0"/>
        </w:rPr>
        <w:t xml:space="preserve">Estatutos</w:t>
      </w:r>
      <w:r w:rsidDel="00000000" w:rsidR="00000000" w:rsidRPr="00000000">
        <w:rPr>
          <w:rtl w:val="0"/>
        </w:rPr>
        <w:t xml:space="preserve"> rigen la gobernanza interna y no sustituyen normas de instituciones sede ni de entidades administradoras; en caso de conflicto, se procurará compatibilización mediante adenda o política específica aprobada por la Dirección General.</w:t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sl5oamr1823m" w:id="91"/>
      <w:bookmarkEnd w:id="91"/>
      <w:r w:rsidDel="00000000" w:rsidR="00000000" w:rsidRPr="00000000">
        <w:rPr>
          <w:rtl w:val="0"/>
        </w:rPr>
        <w:t xml:space="preserve">Art. 15 — Solución de controversias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z1bivqjq3gxq" w:id="92"/>
      <w:bookmarkEnd w:id="92"/>
      <w:r w:rsidDel="00000000" w:rsidR="00000000" w:rsidRPr="00000000">
        <w:rPr>
          <w:rtl w:val="0"/>
        </w:rPr>
        <w:t xml:space="preserve">15.1. Etapa 1: Mediación interna facilitada por el CAM.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97jgl3b7cota" w:id="93"/>
      <w:bookmarkEnd w:id="93"/>
      <w:r w:rsidDel="00000000" w:rsidR="00000000" w:rsidRPr="00000000">
        <w:rPr>
          <w:rtl w:val="0"/>
        </w:rPr>
        <w:t xml:space="preserve">15.2. Etapa 2: Decisión final de la Dirección General mediante acto fundado.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5gi5rmmzeksw" w:id="94"/>
      <w:bookmarkEnd w:id="94"/>
      <w:r w:rsidDel="00000000" w:rsidR="00000000" w:rsidRPr="00000000">
        <w:rPr>
          <w:rtl w:val="0"/>
        </w:rPr>
        <w:t xml:space="preserve">15.3. Etapa 3: Si el conflicto se vincula a un proyecto/convenio, regirá lo pactado en ese instrumento.</w:t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368j21m9nxko" w:id="95"/>
      <w:bookmarkEnd w:id="95"/>
      <w:r w:rsidDel="00000000" w:rsidR="00000000" w:rsidRPr="00000000">
        <w:rPr>
          <w:rtl w:val="0"/>
        </w:rPr>
        <w:t xml:space="preserve">Art. 16 — Reformas, transición y vigencia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2fgdj29bv2ke" w:id="96"/>
      <w:bookmarkEnd w:id="96"/>
      <w:r w:rsidDel="00000000" w:rsidR="00000000" w:rsidRPr="00000000">
        <w:rPr>
          <w:rtl w:val="0"/>
        </w:rPr>
        <w:t xml:space="preserve">16.1. Reformas: La Dirección General podrá enmendar estos Estatutos previa consulta al CAM (plazo mínimo de 10 días para observaciones).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de2xf9yrfxtd" w:id="97"/>
      <w:bookmarkEnd w:id="97"/>
      <w:r w:rsidDel="00000000" w:rsidR="00000000" w:rsidRPr="00000000">
        <w:rPr>
          <w:rtl w:val="0"/>
        </w:rPr>
        <w:t xml:space="preserve">16.2. Disposición transitoria: Durante los dos años siguientes a la aprobación de estos Estatutos, la Dirección General podrá introducir ajustes organizativos con consulta al CAM.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xoecxby20b11" w:id="98"/>
      <w:bookmarkEnd w:id="98"/>
      <w:r w:rsidDel="00000000" w:rsidR="00000000" w:rsidRPr="00000000">
        <w:rPr>
          <w:rtl w:val="0"/>
        </w:rPr>
        <w:t xml:space="preserve">16.3. Vigencia: Inmediata desde su aprobación y publicación interna.</w:t>
      </w:r>
    </w:p>
    <w:p w:rsidR="00000000" w:rsidDel="00000000" w:rsidP="00000000" w:rsidRDefault="00000000" w:rsidRPr="00000000" w14:paraId="00000065">
      <w:pPr>
        <w:spacing w:after="6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700.7874015748032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after="60"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120" w:lineRule="auto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/>
  </w:style>
  <w:style w:type="paragraph" w:styleId="Heading3">
    <w:name w:val="heading 3"/>
    <w:basedOn w:val="Normal"/>
    <w:next w:val="Normal"/>
    <w:pPr>
      <w:keepNext w:val="1"/>
      <w:spacing w:before="0" w:line="240" w:lineRule="auto"/>
      <w:ind w:left="283.46456692913375" w:firstLine="0"/>
    </w:pPr>
    <w:rPr/>
  </w:style>
  <w:style w:type="paragraph" w:styleId="Heading4">
    <w:name w:val="heading 4"/>
    <w:basedOn w:val="Normal"/>
    <w:next w:val="Normal"/>
    <w:pPr>
      <w:keepNext w:val="1"/>
      <w:spacing w:after="136" w:before="510" w:line="480" w:lineRule="auto"/>
      <w:ind w:left="864" w:hanging="864"/>
    </w:pPr>
    <w:rPr>
      <w:rFonts w:ascii="Arial" w:cs="Arial" w:eastAsia="Arial" w:hAnsi="Arial"/>
      <w:b w:val="0"/>
      <w:bCs w:val="0"/>
      <w:i w:val="1"/>
      <w:iCs w:val="1"/>
      <w:color w:val="000000"/>
      <w:sz w:val="23"/>
      <w:szCs w:val="23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before="480" w:line="276" w:lineRule="auto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