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6E09" w14:textId="1EF0C4EB" w:rsidR="008A7C61" w:rsidRPr="008A7C61" w:rsidRDefault="008A7C61" w:rsidP="008A7C61">
      <w:pPr>
        <w:rPr>
          <w:b/>
          <w:bCs/>
          <w:lang w:val="en-US"/>
        </w:rPr>
      </w:pPr>
      <w:r>
        <w:rPr>
          <w:b/>
          <w:bCs/>
          <w:lang w:val="en-US"/>
        </w:rPr>
        <w:t xml:space="preserve">Container Rain: Why </w:t>
      </w:r>
      <w:r w:rsidR="004B6C70">
        <w:rPr>
          <w:b/>
          <w:bCs/>
          <w:lang w:val="en-US"/>
        </w:rPr>
        <w:t>d</w:t>
      </w:r>
      <w:r>
        <w:rPr>
          <w:b/>
          <w:bCs/>
          <w:lang w:val="en-US"/>
        </w:rPr>
        <w:t xml:space="preserve">ew </w:t>
      </w:r>
      <w:r w:rsidR="004B6C70">
        <w:rPr>
          <w:b/>
          <w:bCs/>
          <w:lang w:val="en-US"/>
        </w:rPr>
        <w:t>p</w:t>
      </w:r>
      <w:r>
        <w:rPr>
          <w:b/>
          <w:bCs/>
          <w:lang w:val="en-US"/>
        </w:rPr>
        <w:t xml:space="preserve">oint </w:t>
      </w:r>
      <w:r w:rsidR="004B6C70">
        <w:rPr>
          <w:b/>
          <w:bCs/>
          <w:lang w:val="en-US"/>
        </w:rPr>
        <w:t>p</w:t>
      </w:r>
      <w:r>
        <w:rPr>
          <w:b/>
          <w:bCs/>
          <w:lang w:val="en-US"/>
        </w:rPr>
        <w:t xml:space="preserve">hysics </w:t>
      </w:r>
      <w:r w:rsidR="004B6C70">
        <w:rPr>
          <w:b/>
          <w:bCs/>
          <w:lang w:val="en-US"/>
        </w:rPr>
        <w:t>m</w:t>
      </w:r>
      <w:r>
        <w:rPr>
          <w:b/>
          <w:bCs/>
          <w:lang w:val="en-US"/>
        </w:rPr>
        <w:t xml:space="preserve">akes </w:t>
      </w:r>
      <w:r w:rsidR="004B6C70">
        <w:rPr>
          <w:b/>
          <w:bCs/>
          <w:lang w:val="en-US"/>
        </w:rPr>
        <w:t>m</w:t>
      </w:r>
      <w:r>
        <w:rPr>
          <w:b/>
          <w:bCs/>
          <w:lang w:val="en-US"/>
        </w:rPr>
        <w:t xml:space="preserve">oisture </w:t>
      </w:r>
      <w:r w:rsidR="004B6C70">
        <w:rPr>
          <w:b/>
          <w:bCs/>
          <w:lang w:val="en-US"/>
        </w:rPr>
        <w:t>d</w:t>
      </w:r>
      <w:r>
        <w:rPr>
          <w:b/>
          <w:bCs/>
          <w:lang w:val="en-US"/>
        </w:rPr>
        <w:t xml:space="preserve">amage </w:t>
      </w:r>
      <w:r w:rsidR="004B6C70">
        <w:rPr>
          <w:b/>
          <w:bCs/>
          <w:lang w:val="en-US"/>
        </w:rPr>
        <w:t>i</w:t>
      </w:r>
      <w:r>
        <w:rPr>
          <w:b/>
          <w:bCs/>
          <w:lang w:val="en-US"/>
        </w:rPr>
        <w:t xml:space="preserve">nevitable </w:t>
      </w:r>
      <w:r w:rsidR="004B6C70">
        <w:rPr>
          <w:b/>
          <w:bCs/>
          <w:lang w:val="en-US"/>
        </w:rPr>
        <w:t>d</w:t>
      </w:r>
      <w:r>
        <w:rPr>
          <w:b/>
          <w:bCs/>
          <w:lang w:val="en-US"/>
        </w:rPr>
        <w:t xml:space="preserve">uring </w:t>
      </w:r>
      <w:r w:rsidR="004B6C70">
        <w:rPr>
          <w:b/>
          <w:bCs/>
          <w:lang w:val="en-US"/>
        </w:rPr>
        <w:t>o</w:t>
      </w:r>
      <w:r>
        <w:rPr>
          <w:b/>
          <w:bCs/>
          <w:lang w:val="en-US"/>
        </w:rPr>
        <w:t xml:space="preserve">cean </w:t>
      </w:r>
      <w:r w:rsidR="004B6C70">
        <w:rPr>
          <w:b/>
          <w:bCs/>
          <w:lang w:val="en-US"/>
        </w:rPr>
        <w:t>t</w:t>
      </w:r>
      <w:r>
        <w:rPr>
          <w:b/>
          <w:bCs/>
          <w:lang w:val="en-US"/>
        </w:rPr>
        <w:t>ransit</w:t>
      </w:r>
    </w:p>
    <w:p w14:paraId="28B2200B" w14:textId="77777777" w:rsidR="008A7C61" w:rsidRPr="008A7C61" w:rsidRDefault="008A7C61" w:rsidP="008A7C61">
      <w:pPr>
        <w:rPr>
          <w:lang w:val="en-US"/>
        </w:rPr>
      </w:pPr>
      <w:r>
        <w:rPr>
          <w:b/>
          <w:bCs/>
          <w:lang w:val="en-US"/>
        </w:rPr>
        <w:t>Understanding the thermodynamic forces that turn shipping containers into condensation chambers, and the only proven solution that works at scale</w:t>
      </w:r>
    </w:p>
    <w:p w14:paraId="5484187E" w14:textId="77777777" w:rsidR="008A7C61" w:rsidRPr="008A7C61" w:rsidRDefault="008A7C61" w:rsidP="008A7C61">
      <w:pPr>
        <w:rPr>
          <w:lang w:val="en-US"/>
        </w:rPr>
      </w:pPr>
      <w:r>
        <w:rPr>
          <w:lang w:val="en-US"/>
        </w:rPr>
        <w:t>Every day, approximately 250,000 shipping containers cross the world’s oceans. Inside these steel boxes, a silent meteorological event unfolds that costs the global supply chain an estimated $6-8 billion annually: container rain. This phenomenon isn’t caused by leaks or poor packaging. It’s the inevitable result of fundamental physics meeting the reality of transoceanic temperature gradients.</w:t>
      </w:r>
    </w:p>
    <w:p w14:paraId="6AAC7316" w14:textId="6392F406" w:rsidR="008A7C61" w:rsidRPr="008A7C61" w:rsidRDefault="004B6C70" w:rsidP="008A7C61">
      <w:pPr>
        <w:rPr>
          <w:b/>
          <w:bCs/>
          <w:lang w:val="en-US"/>
        </w:rPr>
      </w:pPr>
      <w:r>
        <w:rPr>
          <w:b/>
          <w:bCs/>
          <w:lang w:val="en-US"/>
        </w:rPr>
        <w:t>The dew point equation: where physics meets logistics</w:t>
      </w:r>
    </w:p>
    <w:p w14:paraId="74C8009C" w14:textId="77777777" w:rsidR="008A7C61" w:rsidRPr="008A7C61" w:rsidRDefault="008A7C61" w:rsidP="008A7C61">
      <w:pPr>
        <w:rPr>
          <w:lang w:val="en-US"/>
        </w:rPr>
      </w:pPr>
      <w:r>
        <w:rPr>
          <w:lang w:val="en-US"/>
        </w:rPr>
        <w:t>The dew point represents the temperature at which air becomes saturated with moisture and condensation begins. This isn’t a theoretical concern. It’s a mathematical certainty governed by the Clausius-Clapeyron equation, which describes how air’s moisture-holding capacity changes with temperature.</w:t>
      </w:r>
    </w:p>
    <w:p w14:paraId="37CC56E9" w14:textId="77777777" w:rsidR="008A7C61" w:rsidRPr="008A7C61" w:rsidRDefault="008A7C61" w:rsidP="008A7C61">
      <w:pPr>
        <w:rPr>
          <w:lang w:val="en-US"/>
        </w:rPr>
      </w:pPr>
      <w:r>
        <w:rPr>
          <w:lang w:val="en-US"/>
        </w:rPr>
        <w:t>Here’s the critical relationship: For every 10°C (18°F) increase in temperature, air can hold approximately twice as much water vapor. Conversely, when temperature drops, that moisture-holding capacity plummets, forcing excess water vapor to condense on the coldest available surfaces (typically the steel walls and ceiling of the container).</w:t>
      </w:r>
    </w:p>
    <w:p w14:paraId="352EF466" w14:textId="77777777" w:rsidR="008A7C61" w:rsidRPr="008A7C61" w:rsidRDefault="008A7C61" w:rsidP="008A7C61">
      <w:pPr>
        <w:rPr>
          <w:lang w:val="en-US"/>
        </w:rPr>
      </w:pPr>
      <w:r>
        <w:rPr>
          <w:b/>
          <w:bCs/>
          <w:lang w:val="en-US"/>
        </w:rPr>
        <w:t>The cargo container creates the perfect storm for this process:</w:t>
      </w:r>
    </w:p>
    <w:p w14:paraId="6562B908" w14:textId="77777777" w:rsidR="008A7C61" w:rsidRPr="008A7C61" w:rsidRDefault="008A7C61" w:rsidP="008A7C61">
      <w:pPr>
        <w:rPr>
          <w:lang w:val="en-US"/>
        </w:rPr>
      </w:pPr>
      <w:r>
        <w:rPr>
          <w:lang w:val="en-US"/>
        </w:rPr>
        <w:t>A standard 40-foot high-cube container sealed at a humid port in Southeast Asia might contain air at 30°C (86°F) with 80% relative humidity. That air holds approximately 24 grams of water per cubic meter. When that same container crosses into cooler Pacific waters or arrives at a temperate-zone port where nighttime temperatures drop to 10°C (50°F), the air's capacity crashes to just 9.4 grams per cubic meter.</w:t>
      </w:r>
    </w:p>
    <w:p w14:paraId="176148CB" w14:textId="77777777" w:rsidR="008A7C61" w:rsidRPr="008A7C61" w:rsidRDefault="008A7C61" w:rsidP="008A7C61">
      <w:pPr>
        <w:rPr>
          <w:lang w:val="en-US"/>
        </w:rPr>
      </w:pPr>
      <w:r>
        <w:rPr>
          <w:lang w:val="en-US"/>
        </w:rPr>
        <w:t>The difference, 14.6 grams per cubic meter, must go somewhere. In a 76-cubic-meter container, that’s over 1,100 grams (more than a liter) of water that will condense as “container rain,” dripping onto cargo, pooling in corners, and creating ideal conditions for mold growth.</w:t>
      </w:r>
    </w:p>
    <w:p w14:paraId="0A3241E8" w14:textId="77777777" w:rsidR="008A7C61" w:rsidRPr="008A7C61" w:rsidRDefault="008A7C61" w:rsidP="008A7C61">
      <w:pPr>
        <w:rPr>
          <w:b/>
          <w:bCs/>
          <w:lang w:val="en-US"/>
        </w:rPr>
      </w:pPr>
      <w:r>
        <w:rPr>
          <w:b/>
          <w:bCs/>
          <w:lang w:val="en-US"/>
        </w:rPr>
        <w:t>Why Temperature Swings Are Unavoidable</w:t>
      </w:r>
    </w:p>
    <w:p w14:paraId="45171090" w14:textId="77777777" w:rsidR="008A7C61" w:rsidRPr="008A7C61" w:rsidRDefault="008A7C61" w:rsidP="008A7C61">
      <w:pPr>
        <w:rPr>
          <w:lang w:val="en-US"/>
        </w:rPr>
      </w:pPr>
      <w:r>
        <w:rPr>
          <w:lang w:val="en-US"/>
        </w:rPr>
        <w:t>Unlike temperature-controlled logistics, standard container shipping operates without climate control, and for good reason. The economics simply don’t support refrigerated transport for the vast majority of goods. But this means containers are subject to dramatic thermal variation:</w:t>
      </w:r>
    </w:p>
    <w:p w14:paraId="20E32F65" w14:textId="77777777" w:rsidR="008A7C61" w:rsidRPr="008A7C61" w:rsidRDefault="008A7C61" w:rsidP="008A7C61">
      <w:pPr>
        <w:rPr>
          <w:lang w:val="en-US"/>
        </w:rPr>
      </w:pPr>
      <w:r>
        <w:rPr>
          <w:b/>
          <w:bCs/>
          <w:lang w:val="en-US"/>
        </w:rPr>
        <w:lastRenderedPageBreak/>
        <w:t>Equatorial to temperate routes:</w:t>
      </w:r>
      <w:r>
        <w:rPr>
          <w:lang w:val="en-US"/>
        </w:rPr>
        <w:t xml:space="preserve"> A container leaving Singapore (average 27°C) bound for Hamburg (average 9°C) will experience an 18°C temperature differential, enough to cut air’s moisture capacity by more than half.</w:t>
      </w:r>
    </w:p>
    <w:p w14:paraId="469DE951" w14:textId="77777777" w:rsidR="008A7C61" w:rsidRPr="008A7C61" w:rsidRDefault="008A7C61" w:rsidP="008A7C61">
      <w:pPr>
        <w:rPr>
          <w:lang w:val="en-US"/>
        </w:rPr>
      </w:pPr>
      <w:r>
        <w:rPr>
          <w:b/>
          <w:bCs/>
          <w:lang w:val="en-US"/>
        </w:rPr>
        <w:t>Diurnal cycling:</w:t>
      </w:r>
      <w:r>
        <w:rPr>
          <w:lang w:val="en-US"/>
        </w:rPr>
        <w:t xml:space="preserve"> Even on a single route, containers experience day-night temperature swings of 15-20°C. Steel containers heat rapidly under direct sunlight (surface temperatures can exceed 60°C) and cool quickly at night, creating multiple condensation cycles during a single voyage.</w:t>
      </w:r>
    </w:p>
    <w:p w14:paraId="330CA809" w14:textId="77777777" w:rsidR="008A7C61" w:rsidRPr="008A7C61" w:rsidRDefault="008A7C61" w:rsidP="008A7C61">
      <w:pPr>
        <w:rPr>
          <w:lang w:val="en-US"/>
        </w:rPr>
      </w:pPr>
      <w:r>
        <w:rPr>
          <w:b/>
          <w:bCs/>
          <w:lang w:val="en-US"/>
        </w:rPr>
        <w:t>Cargo itself as a moisture source:</w:t>
      </w:r>
      <w:r>
        <w:rPr>
          <w:lang w:val="en-US"/>
        </w:rPr>
        <w:t xml:space="preserve"> Many products (timber, agricultural goods, textiles) contain hygroscopic materials that release moisture as temperatures rise, adding to the container’s humidity burden beyond just the sealed air.</w:t>
      </w:r>
    </w:p>
    <w:p w14:paraId="0797326C" w14:textId="77777777" w:rsidR="008A7C61" w:rsidRPr="008A7C61" w:rsidRDefault="008A7C61" w:rsidP="008A7C61">
      <w:pPr>
        <w:rPr>
          <w:lang w:val="en-US"/>
        </w:rPr>
      </w:pPr>
      <w:r>
        <w:rPr>
          <w:b/>
          <w:bCs/>
          <w:lang w:val="en-US"/>
        </w:rPr>
        <w:t>Hull positioning effects:</w:t>
      </w:r>
      <w:r>
        <w:rPr>
          <w:lang w:val="en-US"/>
        </w:rPr>
        <w:t xml:space="preserve"> Containers on deck experience more extreme temperature variations from solar radiation and wind chill, while those in the hold face different thermal dynamics from the ship's hull temperature, which reflects ocean water temperature.</w:t>
      </w:r>
    </w:p>
    <w:p w14:paraId="4E7601D8" w14:textId="77777777" w:rsidR="008A7C61" w:rsidRPr="008A7C61" w:rsidRDefault="008A7C61" w:rsidP="008A7C61">
      <w:pPr>
        <w:rPr>
          <w:lang w:val="en-US"/>
        </w:rPr>
      </w:pPr>
      <w:r>
        <w:rPr>
          <w:lang w:val="en-US"/>
        </w:rPr>
        <w:t>The shipping industry has no mechanism to prevent these swings. Containers are passive steel boxes designed for structural integrity and standardization, not thermal stability. The temperature will fluctuate. It’s not a matter of if, but when and by how much.</w:t>
      </w:r>
    </w:p>
    <w:p w14:paraId="2031A68B" w14:textId="342B6D4E" w:rsidR="008A7C61" w:rsidRPr="008A7C61" w:rsidRDefault="004B6C70" w:rsidP="008A7C61">
      <w:pPr>
        <w:rPr>
          <w:b/>
          <w:bCs/>
          <w:lang w:val="en-US"/>
        </w:rPr>
      </w:pPr>
      <w:r>
        <w:rPr>
          <w:b/>
          <w:bCs/>
          <w:lang w:val="en-US"/>
        </w:rPr>
        <w:t>Why alternative solutions fall short</w:t>
      </w:r>
    </w:p>
    <w:p w14:paraId="2BCEEBA1" w14:textId="77777777" w:rsidR="008A7C61" w:rsidRPr="008A7C61" w:rsidRDefault="008A7C61" w:rsidP="008A7C61">
      <w:pPr>
        <w:rPr>
          <w:lang w:val="en-US"/>
        </w:rPr>
      </w:pPr>
      <w:r>
        <w:rPr>
          <w:lang w:val="en-US"/>
        </w:rPr>
        <w:t>When facing condensation risks, shipping companies and cargo owners have limited options:</w:t>
      </w:r>
    </w:p>
    <w:p w14:paraId="3C323DC1" w14:textId="77777777" w:rsidR="008A7C61" w:rsidRPr="008A7C61" w:rsidRDefault="008A7C61" w:rsidP="008A7C61">
      <w:pPr>
        <w:rPr>
          <w:lang w:val="en-US"/>
        </w:rPr>
      </w:pPr>
      <w:r>
        <w:rPr>
          <w:b/>
          <w:bCs/>
          <w:lang w:val="en-US"/>
        </w:rPr>
        <w:t>Ventilation:</w:t>
      </w:r>
      <w:r>
        <w:rPr>
          <w:lang w:val="en-US"/>
        </w:rPr>
        <w:t xml:space="preserve"> While some containers feature ventilation slots, these create as many problems as they solve. In humid climates, ventilation introduces more moisture-laden air. In temperature transitions, ventilation can actually accelerate condensation by bringing in warm, humid air that immediately contacts cold container walls.</w:t>
      </w:r>
    </w:p>
    <w:p w14:paraId="6E77ECC7" w14:textId="77777777" w:rsidR="008A7C61" w:rsidRPr="008A7C61" w:rsidRDefault="008A7C61" w:rsidP="008A7C61">
      <w:pPr>
        <w:rPr>
          <w:lang w:val="en-US"/>
        </w:rPr>
      </w:pPr>
      <w:r>
        <w:rPr>
          <w:b/>
          <w:bCs/>
          <w:lang w:val="en-US"/>
        </w:rPr>
        <w:t>Vapor barriers and packaging:</w:t>
      </w:r>
      <w:r>
        <w:rPr>
          <w:lang w:val="en-US"/>
        </w:rPr>
        <w:t xml:space="preserve"> Shrink-wrapping and vapor barrier films protect individual items but trap moisture between the barrier and the container wall; any breach in the barrier negates the protection entirely. These solutions also add significant material costs and labor time.</w:t>
      </w:r>
    </w:p>
    <w:p w14:paraId="09C37C11" w14:textId="2955BA24" w:rsidR="008A7C61" w:rsidRPr="008A7C61" w:rsidRDefault="008A7C61" w:rsidP="008A7C61">
      <w:pPr>
        <w:rPr>
          <w:lang w:val="en-US"/>
        </w:rPr>
      </w:pPr>
      <w:r>
        <w:rPr>
          <w:b/>
          <w:bCs/>
          <w:lang w:val="en-US"/>
        </w:rPr>
        <w:t>Thermal blankets and liners:</w:t>
      </w:r>
      <w:r>
        <w:rPr>
          <w:lang w:val="en-US"/>
        </w:rPr>
        <w:t xml:space="preserve"> Insulated container liners reduce the rate of temperature change but cannot prevent it. They add substantial cost and still allow condensation to occur. The condensation just happens more slowly and potentially in less visible locations.</w:t>
      </w:r>
    </w:p>
    <w:p w14:paraId="2B7B4FB3" w14:textId="77777777" w:rsidR="008A7C61" w:rsidRPr="008A7C61" w:rsidRDefault="008A7C61" w:rsidP="008A7C61">
      <w:pPr>
        <w:rPr>
          <w:lang w:val="en-US"/>
        </w:rPr>
      </w:pPr>
      <w:r>
        <w:rPr>
          <w:b/>
          <w:bCs/>
          <w:lang w:val="en-US"/>
        </w:rPr>
        <w:t>Dehumidification equipment:</w:t>
      </w:r>
      <w:r>
        <w:rPr>
          <w:lang w:val="en-US"/>
        </w:rPr>
        <w:t xml:space="preserve"> Active dehumidifiers require power sources that standard containers lack. Solar-powered units exist but add thousands of dollars in equipment cost, require maintenance, and introduce failure points.</w:t>
      </w:r>
    </w:p>
    <w:p w14:paraId="34AD505B" w14:textId="77777777" w:rsidR="008A7C61" w:rsidRPr="008A7C61" w:rsidRDefault="008A7C61" w:rsidP="008A7C61">
      <w:pPr>
        <w:rPr>
          <w:lang w:val="en-US"/>
        </w:rPr>
      </w:pPr>
      <w:r>
        <w:rPr>
          <w:lang w:val="en-US"/>
        </w:rPr>
        <w:t>Each of these approaches attempts to fight against thermodynamics rather than accepting the reality of temperature variation and addressing its consequences directly.</w:t>
      </w:r>
    </w:p>
    <w:p w14:paraId="77F09416" w14:textId="03A94BCA" w:rsidR="008A7C61" w:rsidRPr="008A7C61" w:rsidRDefault="004B6C70" w:rsidP="008A7C61">
      <w:pPr>
        <w:rPr>
          <w:b/>
          <w:bCs/>
          <w:lang w:val="en-US"/>
        </w:rPr>
      </w:pPr>
      <w:r>
        <w:rPr>
          <w:b/>
          <w:bCs/>
          <w:lang w:val="en-US"/>
        </w:rPr>
        <w:lastRenderedPageBreak/>
        <w:t>Desiccants: the economically rational solution</w:t>
      </w:r>
    </w:p>
    <w:p w14:paraId="636E18CF" w14:textId="77777777" w:rsidR="008A7C61" w:rsidRPr="008A7C61" w:rsidRDefault="008A7C61" w:rsidP="008A7C61">
      <w:pPr>
        <w:rPr>
          <w:lang w:val="en-US"/>
        </w:rPr>
      </w:pPr>
      <w:r>
        <w:rPr>
          <w:lang w:val="en-US"/>
        </w:rPr>
        <w:t>Desiccant moisture absorbers work with physics rather than against it. These passive moisture control systems (typically calcium chloride or clay-based formulations) absorb water vapor from the air, preventing it from reaching dew point and condensing on surfaces.</w:t>
      </w:r>
    </w:p>
    <w:p w14:paraId="11BAB11E" w14:textId="77777777" w:rsidR="008A7C61" w:rsidRPr="008A7C61" w:rsidRDefault="008A7C61" w:rsidP="008A7C61">
      <w:pPr>
        <w:rPr>
          <w:lang w:val="en-US"/>
        </w:rPr>
      </w:pPr>
      <w:r>
        <w:rPr>
          <w:b/>
          <w:bCs/>
          <w:lang w:val="en-US"/>
        </w:rPr>
        <w:t>The economic advantage is substantial:</w:t>
      </w:r>
    </w:p>
    <w:p w14:paraId="42297F4D" w14:textId="4DCC1530" w:rsidR="008A7C61" w:rsidRPr="008A7C61" w:rsidRDefault="008A7C61" w:rsidP="008A7C61">
      <w:pPr>
        <w:rPr>
          <w:lang w:val="en-US"/>
        </w:rPr>
      </w:pPr>
      <w:r>
        <w:rPr>
          <w:lang w:val="en-US"/>
        </w:rPr>
        <w:t>Container desiccants cost approximately 0.1-0.3% of typical cargo value, a negligible insurance cost against moisture damage that can destroy 10-100% of a shipment’s value.</w:t>
      </w:r>
    </w:p>
    <w:p w14:paraId="4D0577AD" w14:textId="77777777" w:rsidR="008A7C61" w:rsidRPr="008A7C61" w:rsidRDefault="008A7C61" w:rsidP="008A7C61">
      <w:pPr>
        <w:rPr>
          <w:lang w:val="en-US"/>
        </w:rPr>
      </w:pPr>
      <w:r>
        <w:rPr>
          <w:lang w:val="en-US"/>
        </w:rPr>
        <w:t>Compare this to a single moisture-damaged container of electronics ($50,000+ in losses), furniture (frequently total loss for upholstered items), or food products (automatic rejection for mold contamination).</w:t>
      </w:r>
    </w:p>
    <w:p w14:paraId="65CD055B" w14:textId="77777777" w:rsidR="008A7C61" w:rsidRPr="008A7C61" w:rsidRDefault="008A7C61" w:rsidP="008A7C61">
      <w:pPr>
        <w:rPr>
          <w:lang w:val="en-US"/>
        </w:rPr>
      </w:pPr>
      <w:r>
        <w:rPr>
          <w:b/>
          <w:bCs/>
          <w:lang w:val="en-US"/>
        </w:rPr>
        <w:t>The reliability factor:</w:t>
      </w:r>
    </w:p>
    <w:p w14:paraId="05536847" w14:textId="77777777" w:rsidR="008A7C61" w:rsidRPr="008A7C61" w:rsidRDefault="008A7C61" w:rsidP="008A7C61">
      <w:pPr>
        <w:rPr>
          <w:lang w:val="en-US"/>
        </w:rPr>
      </w:pPr>
      <w:r>
        <w:rPr>
          <w:lang w:val="en-US"/>
        </w:rPr>
        <w:t>Unlike active systems, desiccants have no moving parts, require no power, and cannot “fail” in the traditional sense. They simply continue absorbing moisture until saturated. Proper specification based on voyage duration and climate ensures capacity exceeds expected moisture loads with substantial safety margins.</w:t>
      </w:r>
    </w:p>
    <w:p w14:paraId="48410DD1" w14:textId="77777777" w:rsidR="008A7C61" w:rsidRPr="008A7C61" w:rsidRDefault="008A7C61" w:rsidP="008A7C61">
      <w:pPr>
        <w:rPr>
          <w:lang w:val="en-US"/>
        </w:rPr>
      </w:pPr>
      <w:r>
        <w:rPr>
          <w:lang w:val="en-US"/>
        </w:rPr>
        <w:t>Major shipping lines and freight forwarders have largely converged on desiccants as best practice for moisture-sensitive cargo. The Container Owners Association and TT Club (the leading transport and logistics insurer) both recommend desiccant use for any cargo susceptible to moisture damage.</w:t>
      </w:r>
    </w:p>
    <w:p w14:paraId="02BBD57C" w14:textId="77777777" w:rsidR="008A7C61" w:rsidRPr="008A7C61" w:rsidRDefault="008A7C61" w:rsidP="008A7C61">
      <w:pPr>
        <w:rPr>
          <w:lang w:val="en-US"/>
        </w:rPr>
      </w:pPr>
      <w:r>
        <w:rPr>
          <w:lang w:val="en-US"/>
        </w:rPr>
        <w:t>Claims data supports this consensus. Analysis of moisture-damage insurance claims shows that containers using properly specified desiccants experience moisture damage at rates 85-95% lower than unprotected containers on comparable routes.</w:t>
      </w:r>
    </w:p>
    <w:p w14:paraId="7AF99F41" w14:textId="77777777" w:rsidR="008A7C61" w:rsidRPr="008A7C61" w:rsidRDefault="008A7C61" w:rsidP="008A7C61">
      <w:pPr>
        <w:rPr>
          <w:lang w:val="en-US"/>
        </w:rPr>
      </w:pPr>
      <w:r>
        <w:rPr>
          <w:lang w:val="en-US"/>
        </w:rPr>
        <w:t>The physics is unambiguous: temperature will vary, dew point condensation will occur, and moisture damage will result; unless that moisture is captured before it condenses. Desiccants represent the only passive, reliable, economically scaled solution to this fundamental challenge.</w:t>
      </w:r>
    </w:p>
    <w:p w14:paraId="555F7D12" w14:textId="77777777" w:rsidR="008A7C61" w:rsidRPr="008A7C61" w:rsidRDefault="008A7C61" w:rsidP="008A7C61">
      <w:pPr>
        <w:rPr>
          <w:lang w:val="en-US"/>
        </w:rPr>
      </w:pPr>
      <w:r>
        <w:rPr>
          <w:lang w:val="en-US"/>
        </w:rPr>
        <w:t>For supply chain professionals managing moisture-sensitive cargo, the question isn't whether to use desiccants, but only how many to specify. The thermodynamics of container shipping have already answered that first question definitively.</w:t>
      </w:r>
    </w:p>
    <w:p w14:paraId="6578F030" w14:textId="77777777" w:rsidR="00DB5533" w:rsidRPr="008A7C61" w:rsidRDefault="00DB5533">
      <w:pPr>
        <w:rPr>
          <w:lang w:val="en-US"/>
        </w:rPr>
      </w:pPr>
    </w:p>
    <w:sectPr w:rsidR="00DB5533" w:rsidRPr="008A7C6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11FB7"/>
    <w:multiLevelType w:val="multilevel"/>
    <w:tmpl w:val="B0C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53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61"/>
    <w:rsid w:val="004B6C70"/>
    <w:rsid w:val="00754C41"/>
    <w:rsid w:val="008A7C61"/>
    <w:rsid w:val="00DB553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06CA"/>
  <w15:chartTrackingRefBased/>
  <w15:docId w15:val="{7814A02F-5529-48D8-A538-824399E36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A7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A7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A7C6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A7C6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A7C6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A7C6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A7C6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A7C6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A7C6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A7C6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8A7C6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8A7C6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8A7C6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8A7C6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8A7C6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8A7C6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8A7C6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8A7C61"/>
    <w:rPr>
      <w:rFonts w:eastAsiaTheme="majorEastAsia" w:cstheme="majorBidi"/>
      <w:color w:val="272727" w:themeColor="text1" w:themeTint="D8"/>
    </w:rPr>
  </w:style>
  <w:style w:type="paragraph" w:styleId="Titel">
    <w:name w:val="Title"/>
    <w:basedOn w:val="Normal"/>
    <w:next w:val="Normal"/>
    <w:link w:val="TitelTegn"/>
    <w:uiPriority w:val="10"/>
    <w:qFormat/>
    <w:rsid w:val="008A7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8A7C6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8A7C6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8A7C6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8A7C6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8A7C61"/>
    <w:rPr>
      <w:i/>
      <w:iCs/>
      <w:color w:val="404040" w:themeColor="text1" w:themeTint="BF"/>
    </w:rPr>
  </w:style>
  <w:style w:type="paragraph" w:styleId="Listeafsnit">
    <w:name w:val="List Paragraph"/>
    <w:basedOn w:val="Normal"/>
    <w:uiPriority w:val="34"/>
    <w:qFormat/>
    <w:rsid w:val="008A7C61"/>
    <w:pPr>
      <w:ind w:left="720"/>
      <w:contextualSpacing/>
    </w:pPr>
  </w:style>
  <w:style w:type="character" w:styleId="Kraftigfremhvning">
    <w:name w:val="Intense Emphasis"/>
    <w:basedOn w:val="Standardskrifttypeiafsnit"/>
    <w:uiPriority w:val="21"/>
    <w:qFormat/>
    <w:rsid w:val="008A7C61"/>
    <w:rPr>
      <w:i/>
      <w:iCs/>
      <w:color w:val="0F4761" w:themeColor="accent1" w:themeShade="BF"/>
    </w:rPr>
  </w:style>
  <w:style w:type="paragraph" w:styleId="Strktcitat">
    <w:name w:val="Intense Quote"/>
    <w:basedOn w:val="Normal"/>
    <w:next w:val="Normal"/>
    <w:link w:val="StrktcitatTegn"/>
    <w:uiPriority w:val="30"/>
    <w:qFormat/>
    <w:rsid w:val="008A7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8A7C61"/>
    <w:rPr>
      <w:i/>
      <w:iCs/>
      <w:color w:val="0F4761" w:themeColor="accent1" w:themeShade="BF"/>
    </w:rPr>
  </w:style>
  <w:style w:type="character" w:styleId="Kraftighenvisning">
    <w:name w:val="Intense Reference"/>
    <w:basedOn w:val="Standardskrifttypeiafsnit"/>
    <w:uiPriority w:val="32"/>
    <w:qFormat/>
    <w:rsid w:val="008A7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1011</Words>
  <Characters>6172</Characters>
  <Application>Microsoft Office Word</Application>
  <DocSecurity>0</DocSecurity>
  <Lines>51</Lines>
  <Paragraphs>14</Paragraphs>
  <ScaleCrop>false</ScaleCrop>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Production Dry-Bag</dc:creator>
  <cp:keywords/>
  <dc:description/>
  <cp:lastModifiedBy>Production Dry-Bag</cp:lastModifiedBy>
  <cp:revision>2</cp:revision>
  <dcterms:created xsi:type="dcterms:W3CDTF">2026-02-10T13:13:00Z</dcterms:created>
  <dcterms:modified xsi:type="dcterms:W3CDTF">2026-02-10T13:24:00Z</dcterms:modified>
</cp:coreProperties>
</file>