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8"/>
          <w:sz w:val="72"/>
        </w:rPr>
        <w:t>Novartum Consulting</w:t>
      </w:r>
    </w:p>
    <w:p>
      <w:pPr>
        <w:jc w:val="center"/>
      </w:pPr>
      <w:r>
        <w:rPr>
          <w:b/>
          <w:color w:val="2E75B5"/>
          <w:sz w:val="36"/>
        </w:rPr>
        <w:t>Projektreferenzen – Detaillierte Case Studies</w:t>
      </w:r>
    </w:p>
    <w:p>
      <w:pPr>
        <w:jc w:val="both"/>
      </w:pPr>
      <w:r>
        <w:rPr>
          <w:sz w:val="24"/>
        </w:rPr>
        <w:t>18 Kundenprojekte aus Lizenzmanagement, IT-Einkauf und ITSM-Transformation mit detaillierter Beschreibung von Herausforderungen, Lösungsansätzen, eingesetzten Technologien und messbaren Ergebnissen.</w:t>
      </w:r>
    </w:p>
    <w:p/>
    <w:p>
      <w:pPr>
        <w:pStyle w:val="Heading1"/>
      </w:pPr>
      <w:r>
        <w:rPr>
          <w:color w:val="1F4E78"/>
          <w:sz w:val="48"/>
        </w:rPr>
        <w:t>Software Asset Management &amp; Lizenzierung</w:t>
      </w:r>
    </w:p>
    <w:p>
      <w:pPr>
        <w:pStyle w:val="Heading2"/>
      </w:pPr>
      <w:r>
        <w:rPr>
          <w:color w:val="000000"/>
          <w:sz w:val="32"/>
        </w:rPr>
        <w:t>IT-Lizenzmanagement als Managed Service im Finanzsektor</w:t>
      </w:r>
    </w:p>
    <w:p>
      <w:r>
        <w:rPr>
          <w:i/>
          <w:color w:val="666666"/>
          <w:sz w:val="20"/>
        </w:rPr>
        <w:t>Finanzdienstleistung | Finanzinformatik | Laufend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Aufbau und Betrieb eines strukturierten Lizenzmanagements für eine komplexe IT-Umgebung mit Fokus auf Compliance, Kostenoptimierung und Audit-Sicherheit. Herausforderung: heterogene Lizenzlandschaft und systematische Identifikation von Über-/Unterlizenzierungen.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Pflege und Konsolidierung der Lizenzbestände in Matrix42</w:t>
      </w:r>
    </w:p>
    <w:p>
      <w:pPr>
        <w:pStyle w:val="ListBullet"/>
        <w:ind w:left="360"/>
      </w:pPr>
      <w:r>
        <w:t>Durchführung von Software- und Lizenzinventuren über alle Systeme</w:t>
      </w:r>
    </w:p>
    <w:p>
      <w:pPr>
        <w:pStyle w:val="ListBullet"/>
        <w:ind w:left="360"/>
      </w:pPr>
      <w:r>
        <w:t>Erstellung von Lizenzbilanzen und Compliance-Auswertungen</w:t>
      </w:r>
    </w:p>
    <w:p>
      <w:pPr>
        <w:pStyle w:val="ListBullet"/>
        <w:ind w:left="360"/>
      </w:pPr>
      <w:r>
        <w:t>Analyse von Über-/Unterdeckungen mit Maßnahmenableitung</w:t>
      </w:r>
    </w:p>
    <w:p>
      <w:pPr>
        <w:pStyle w:val="ListBullet"/>
        <w:ind w:left="360"/>
      </w:pPr>
      <w:r>
        <w:t>Monitoring von Verlängerungen und Abstimmung mit Fachbereichen</w:t>
      </w:r>
    </w:p>
    <w:p>
      <w:pPr>
        <w:pStyle w:val="ListBullet"/>
        <w:ind w:left="360"/>
      </w:pPr>
      <w:r>
        <w:t>Einholung/Vergleich von Angeboten, Bestellungen und Dokumentation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Matrix42 (SAM-Plattform) • Lizenzinventarisierung • Compliance-Reporting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Vollständige Lizenztransparenz über alle Produkte</w:t>
      </w:r>
    </w:p>
    <w:p>
      <w:pPr>
        <w:pStyle w:val="ListBullet"/>
        <w:ind w:left="360"/>
      </w:pPr>
      <w:r>
        <w:t>Identifikation und Behebung von Unterlizenzierungen</w:t>
      </w:r>
    </w:p>
    <w:p>
      <w:pPr>
        <w:pStyle w:val="ListBullet"/>
        <w:ind w:left="360"/>
      </w:pPr>
      <w:r>
        <w:t>Kostenoptimierung durch Abbau von Überlizenzierungen</w:t>
      </w:r>
    </w:p>
    <w:p>
      <w:pPr>
        <w:pStyle w:val="ListBullet"/>
        <w:ind w:left="360"/>
      </w:pPr>
      <w:r>
        <w:t>Audit-sichere Dokumentation für Prüfungen</w:t>
      </w:r>
    </w:p>
    <w:p/>
    <w:p>
      <w:pPr>
        <w:pStyle w:val="Heading2"/>
      </w:pPr>
      <w:r>
        <w:rPr>
          <w:color w:val="000000"/>
          <w:sz w:val="32"/>
        </w:rPr>
        <w:t>Contract &amp; License Management als Managed Service</w:t>
      </w:r>
    </w:p>
    <w:p>
      <w:r>
        <w:rPr>
          <w:i/>
          <w:color w:val="666666"/>
          <w:sz w:val="20"/>
        </w:rPr>
        <w:t>Branchenübergreifend | KMU &amp; Mittelstand | Seit 2021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Operative und strategische Betreuung mehrerer Mandanten im Lizenzmanagement mit Fokus auf standardisierte Prozesse, DSGVO-Compliance und kontinuierliche Optimierung. Herausforderung: Etablierung skalierbarer SAM-Strukturen bei unterschiedlichen Kundensystemen.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Pflege von Lizenz-/Vertragsdaten (Microsoft, Oracle, IBM, Adobe)</w:t>
      </w:r>
    </w:p>
    <w:p>
      <w:pPr>
        <w:pStyle w:val="ListBullet"/>
        <w:ind w:left="360"/>
      </w:pPr>
      <w:r>
        <w:t>Operative Nutzung von SNOW License Manager und USU Aspera</w:t>
      </w:r>
    </w:p>
    <w:p>
      <w:pPr>
        <w:pStyle w:val="ListBullet"/>
        <w:ind w:left="360"/>
      </w:pPr>
      <w:r>
        <w:t>Einführung standardisierter SAM-Prozesse</w:t>
      </w:r>
    </w:p>
    <w:p>
      <w:pPr>
        <w:pStyle w:val="ListBullet"/>
        <w:ind w:left="360"/>
      </w:pPr>
      <w:r>
        <w:t>Beratung im Rahmen von SAM-as-a-Service</w:t>
      </w:r>
    </w:p>
    <w:p>
      <w:pPr>
        <w:pStyle w:val="ListBullet"/>
        <w:ind w:left="360"/>
      </w:pPr>
      <w:r>
        <w:t>Projektcontrolling und Management-Reporting</w:t>
      </w:r>
    </w:p>
    <w:p>
      <w:pPr>
        <w:pStyle w:val="ListBullet"/>
        <w:ind w:left="360"/>
      </w:pPr>
      <w:r>
        <w:t>DSGVO-/ISMS-Anforderungen sicherstellen</w:t>
      </w:r>
    </w:p>
    <w:p>
      <w:pPr>
        <w:pStyle w:val="ListBullet"/>
        <w:ind w:left="360"/>
      </w:pPr>
      <w:r>
        <w:t>Schnittstellenkoordination zwischen Projektbereichen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SNOW License Manager • USU Aspera • ITIL • DSGVO-konforme Systeme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Standardisierte SAM-Prozesse über mehrere Mandanten</w:t>
      </w:r>
    </w:p>
    <w:p>
      <w:pPr>
        <w:pStyle w:val="ListBullet"/>
        <w:ind w:left="360"/>
      </w:pPr>
      <w:r>
        <w:t>DSGVO-konforme Lizenzdatenverwaltung</w:t>
      </w:r>
    </w:p>
    <w:p>
      <w:pPr>
        <w:pStyle w:val="ListBullet"/>
        <w:ind w:left="360"/>
      </w:pPr>
      <w:r>
        <w:t>Kontinuierliche Prozessverbesserung</w:t>
      </w:r>
    </w:p>
    <w:p>
      <w:pPr>
        <w:pStyle w:val="ListBullet"/>
        <w:ind w:left="360"/>
      </w:pPr>
      <w:r>
        <w:t>Transparentes Management-Reporting</w:t>
      </w:r>
    </w:p>
    <w:p/>
    <w:p>
      <w:pPr>
        <w:pStyle w:val="Heading2"/>
      </w:pPr>
      <w:r>
        <w:rPr>
          <w:color w:val="000000"/>
          <w:sz w:val="32"/>
        </w:rPr>
        <w:t>Lizenzmanagement &amp; Compliance Monitoring im Behördenumfeld</w:t>
      </w:r>
    </w:p>
    <w:p>
      <w:r>
        <w:rPr>
          <w:i/>
          <w:color w:val="666666"/>
          <w:sz w:val="20"/>
        </w:rPr>
        <w:t>Öffentliche Verwaltung | Landesamt für Zentrale Polizeiliche Dienste NRW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Strukturierte Pflege und Nachverfolgbarkeit aller Lizenzinformationen in USU-Aspera-Cloud. Besondere Herausforderung: Abbildung von Kauf-/Mietlizenzen, AD-Abgleich und DSGVO-konforme Auditunterlagen für kritische Herstellerlizenzen.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Administration USU License Manager Cloud (Aspera SmartTrack)</w:t>
      </w:r>
    </w:p>
    <w:p>
      <w:pPr>
        <w:pStyle w:val="ListBullet"/>
        <w:ind w:left="360"/>
      </w:pPr>
      <w:r>
        <w:t>Lizenz-Clearing für Microsoft, Citrix und VMware</w:t>
      </w:r>
    </w:p>
    <w:p>
      <w:pPr>
        <w:pStyle w:val="ListBullet"/>
        <w:ind w:left="360"/>
      </w:pPr>
      <w:r>
        <w:t>Überprüfung und Pflege der AD-Zuordnungen</w:t>
      </w:r>
    </w:p>
    <w:p>
      <w:pPr>
        <w:pStyle w:val="ListBullet"/>
        <w:ind w:left="360"/>
      </w:pPr>
      <w:r>
        <w:t>Pflege von Kauf- und Mietlizenzen</w:t>
      </w:r>
    </w:p>
    <w:p>
      <w:pPr>
        <w:pStyle w:val="ListBullet"/>
        <w:ind w:left="360"/>
      </w:pPr>
      <w:r>
        <w:t>Vertragsmanagement und Vertragsanalysen</w:t>
      </w:r>
    </w:p>
    <w:p>
      <w:pPr>
        <w:pStyle w:val="ListBullet"/>
        <w:ind w:left="360"/>
      </w:pPr>
      <w:r>
        <w:t>DSGVO-konforme Datenhaltung im Lizenzkontext</w:t>
      </w:r>
    </w:p>
    <w:p>
      <w:pPr>
        <w:pStyle w:val="ListBullet"/>
        <w:ind w:left="360"/>
      </w:pPr>
      <w:r>
        <w:t>Vorbereitung auditrelevanter Informationen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USU Aspera SmartTrack (Cloud) • Active Directory • Microsoft/Citrix/VMware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Vollständige AD-Integration für automatisierte Zuordnung</w:t>
      </w:r>
    </w:p>
    <w:p>
      <w:pPr>
        <w:pStyle w:val="ListBullet"/>
        <w:ind w:left="360"/>
      </w:pPr>
      <w:r>
        <w:t>DSGVO-konforme Compliance-Reports für behördliche Audits</w:t>
      </w:r>
    </w:p>
    <w:p>
      <w:pPr>
        <w:pStyle w:val="ListBullet"/>
        <w:ind w:left="360"/>
      </w:pPr>
      <w:r>
        <w:t>Strukturierte Vertragsübersicht für Kauf-/Mietlizenzen</w:t>
      </w:r>
    </w:p>
    <w:p>
      <w:pPr>
        <w:pStyle w:val="ListBullet"/>
        <w:ind w:left="360"/>
      </w:pPr>
      <w:r>
        <w:t>Audit-sichere Dokumentation für kritische Herstellerlizenzen</w:t>
      </w:r>
    </w:p>
    <w:p/>
    <w:p>
      <w:pPr>
        <w:pStyle w:val="Heading2"/>
      </w:pPr>
      <w:r>
        <w:rPr>
          <w:color w:val="000000"/>
          <w:sz w:val="32"/>
        </w:rPr>
        <w:t>Vertragsmanagementsystem-Migration mit Lizenzkostenoptimierung</w:t>
      </w:r>
    </w:p>
    <w:p>
      <w:r>
        <w:rPr>
          <w:i/>
          <w:color w:val="666666"/>
          <w:sz w:val="20"/>
        </w:rPr>
        <w:t>Finanzdienstleistung | BNP PARIBAS | 2024-2025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Migration Vertragsmanagementlösung auf SAP CuContract mit Optimierung IT-Einkaufsprozesse. Zentrale Herausforderung: Identifikation von Einsparpotenzialen bei Cisco-/Microsoft-Lizenzen und strukturierte Überführung ohne Betriebsunterbrechung.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Lizenzmanagement Cisco (Web Conferencing, Videoüberwachung) und Microsoft (True-Up)</w:t>
      </w:r>
    </w:p>
    <w:p>
      <w:pPr>
        <w:pStyle w:val="ListBullet"/>
        <w:ind w:left="360"/>
      </w:pPr>
      <w:r>
        <w:t>Erstellung vollständiger Software-Lizenzbilanzen</w:t>
      </w:r>
    </w:p>
    <w:p>
      <w:pPr>
        <w:pStyle w:val="ListBullet"/>
        <w:ind w:left="360"/>
      </w:pPr>
      <w:r>
        <w:t>Planung und Bewertung kostenoptimierter Lizenzangebote</w:t>
      </w:r>
    </w:p>
    <w:p>
      <w:pPr>
        <w:pStyle w:val="ListBullet"/>
        <w:ind w:left="360"/>
      </w:pPr>
      <w:r>
        <w:t>Erstellung von Einsparpotenzialanalysen und Management-Entscheidungsunterlagen</w:t>
      </w:r>
    </w:p>
    <w:p>
      <w:pPr>
        <w:pStyle w:val="ListBullet"/>
        <w:ind w:left="360"/>
      </w:pPr>
      <w:r>
        <w:t>Migration auf SAP CuContract und Synertrade-Abwicklung</w:t>
      </w:r>
    </w:p>
    <w:p>
      <w:pPr>
        <w:pStyle w:val="ListBullet"/>
        <w:ind w:left="360"/>
      </w:pPr>
      <w:r>
        <w:t>Projektkoordination nach PMP-/PMO-Methodik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SAP CuContract • Synertrade • Cisco Lizenzierung • Microsoft True-Up • PMP/PMO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Identifizierte Einsparpotenziale bei Cisco-/Microsoft-Lizenzen</w:t>
      </w:r>
    </w:p>
    <w:p>
      <w:pPr>
        <w:pStyle w:val="ListBullet"/>
        <w:ind w:left="360"/>
      </w:pPr>
      <w:r>
        <w:t>Erfolgreiche Migration ohne Betriebsunterbrechung</w:t>
      </w:r>
    </w:p>
    <w:p>
      <w:pPr>
        <w:pStyle w:val="ListBullet"/>
        <w:ind w:left="360"/>
      </w:pPr>
      <w:r>
        <w:t>Vollständige Lizenzbilanz als Entscheidungsgrundlage</w:t>
      </w:r>
    </w:p>
    <w:p>
      <w:pPr>
        <w:pStyle w:val="ListBullet"/>
        <w:ind w:left="360"/>
      </w:pPr>
      <w:r>
        <w:t>Optimierte IT-Einkaufsprozesse nach ITSM-Standards</w:t>
      </w:r>
    </w:p>
    <w:p/>
    <w:p>
      <w:pPr>
        <w:pStyle w:val="Heading2"/>
      </w:pPr>
      <w:r>
        <w:rPr>
          <w:color w:val="000000"/>
          <w:sz w:val="32"/>
        </w:rPr>
        <w:t>Zentralisierung IT-Prozesse &amp; Vertrags-/Lizenzmanagement</w:t>
      </w:r>
    </w:p>
    <w:p>
      <w:r>
        <w:rPr>
          <w:i/>
          <w:color w:val="666666"/>
          <w:sz w:val="20"/>
        </w:rPr>
        <w:t>Finanzdienstleistung | Helaba | Laufend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Zentralisierung und strukturelle Aufbereitung von Softwareprodukten, Lizenzstrukturen und Vertragsprozessen im IT-Transformationsprogramm. Aufbau standardisierter Compliance-Prozesse nach DSGVO/ISMS gemäß PMI/PMP/ITIL/SCRUM-Standards.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Pflege/Verwaltung Lizenz-/Vertragsdaten (SAP CuContract)</w:t>
      </w:r>
    </w:p>
    <w:p>
      <w:pPr>
        <w:pStyle w:val="ListBullet"/>
        <w:ind w:left="360"/>
      </w:pPr>
      <w:r>
        <w:t>Lizenzberatung für Microsoft, Adobe und Oracle</w:t>
      </w:r>
    </w:p>
    <w:p>
      <w:pPr>
        <w:pStyle w:val="ListBullet"/>
        <w:ind w:left="360"/>
      </w:pPr>
      <w:r>
        <w:t>Durchführung von Lizenz-Clearing und Auditvorbereitungen</w:t>
      </w:r>
    </w:p>
    <w:p>
      <w:pPr>
        <w:pStyle w:val="ListBullet"/>
        <w:ind w:left="360"/>
      </w:pPr>
      <w:r>
        <w:t>Verwaltung der Adobe Cloud Berechtigungen</w:t>
      </w:r>
    </w:p>
    <w:p>
      <w:pPr>
        <w:pStyle w:val="ListBullet"/>
        <w:ind w:left="360"/>
      </w:pPr>
      <w:r>
        <w:t>Etablierung standardisierter Verwaltungsprozesse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SAP CuContract • Microsoft/Adobe/Oracle Lizenzierung • DSGVO/ISMS • ITIL/SCRUM/PMI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Standardisierte Verwaltungsprozesse etabliert</w:t>
      </w:r>
    </w:p>
    <w:p>
      <w:pPr>
        <w:pStyle w:val="ListBullet"/>
        <w:ind w:left="360"/>
      </w:pPr>
      <w:r>
        <w:t>Regulatorische Compliance (DSGVO/ISMS) sichergestellt</w:t>
      </w:r>
    </w:p>
    <w:p>
      <w:pPr>
        <w:pStyle w:val="ListBullet"/>
        <w:ind w:left="360"/>
      </w:pPr>
      <w:r>
        <w:t>Prüfungsrelevante Dokumentation aufgebaut</w:t>
      </w:r>
    </w:p>
    <w:p>
      <w:pPr>
        <w:pStyle w:val="ListBullet"/>
        <w:ind w:left="360"/>
      </w:pPr>
      <w:r>
        <w:t>Zentrale Lizenzgovernance implementiert</w:t>
      </w:r>
    </w:p>
    <w:p/>
    <w:p>
      <w:pPr>
        <w:pStyle w:val="Heading2"/>
      </w:pPr>
      <w:r>
        <w:rPr>
          <w:color w:val="000000"/>
          <w:sz w:val="32"/>
        </w:rPr>
        <w:t>Strategisches Software-Lizenzmanagement (Microsoft 365 &amp; Business-Apps)</w:t>
      </w:r>
    </w:p>
    <w:p>
      <w:r>
        <w:rPr>
          <w:i/>
          <w:color w:val="666666"/>
          <w:sz w:val="20"/>
        </w:rPr>
        <w:t>Telekommunikation | Deutsche GigaNetz | Laufend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Konzeption unternehmensweites Software-Lizenzmanagement bei wachstumsstarkem Telco. M365-Lizenzstrategie, Business Case E3→E5-Wechsel, Einsparpotenzialeableitung, Aufbau dauerhafter Prozesse und SAM/ITAM-Plattform-Auswahl.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Projekt-/Stakeholdermanagement für SAM-Einführung</w:t>
      </w:r>
    </w:p>
    <w:p>
      <w:pPr>
        <w:pStyle w:val="ListBullet"/>
        <w:ind w:left="360"/>
      </w:pPr>
      <w:r>
        <w:t>Analyse M365 E3/E5 mit Kosten-/Nutzen-Bewertung</w:t>
      </w:r>
    </w:p>
    <w:p>
      <w:pPr>
        <w:pStyle w:val="ListBullet"/>
        <w:ind w:left="360"/>
      </w:pPr>
      <w:r>
        <w:t>Identifikation Einsparpotenziale (NFON, Power BI Einzellizenzen)</w:t>
      </w:r>
    </w:p>
    <w:p>
      <w:pPr>
        <w:pStyle w:val="ListBullet"/>
        <w:ind w:left="360"/>
      </w:pPr>
      <w:r>
        <w:t>Bewertung Fachapplikationen (Konzeptum, CMT)</w:t>
      </w:r>
    </w:p>
    <w:p>
      <w:pPr>
        <w:pStyle w:val="ListBullet"/>
        <w:ind w:left="360"/>
      </w:pPr>
      <w:r>
        <w:t>Aufbau Organisation &amp; Prozesse Lizenzmanagement</w:t>
      </w:r>
    </w:p>
    <w:p>
      <w:pPr>
        <w:pStyle w:val="ListBullet"/>
        <w:ind w:left="360"/>
      </w:pPr>
      <w:r>
        <w:t>Tool-Battle-Card (ServiceNow vs. USU/Flexera/Snow)</w:t>
      </w:r>
    </w:p>
    <w:p>
      <w:pPr>
        <w:pStyle w:val="ListBullet"/>
        <w:ind w:left="360"/>
      </w:pPr>
      <w:r>
        <w:t>Contract-/Kostenmanagement für IT-Verträge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Microsoft 365 (E3/E5) • ServiceNow • USU/Flexera/Snow • Power BI • Konzeptum/CMT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Business Case M365 E5 mit belastbarem ROI erstellt</w:t>
      </w:r>
    </w:p>
    <w:p>
      <w:pPr>
        <w:pStyle w:val="ListBullet"/>
        <w:ind w:left="360"/>
      </w:pPr>
      <w:r>
        <w:t>Toolkostenreduktion durch Konsolidierung identifiziert</w:t>
      </w:r>
    </w:p>
    <w:p>
      <w:pPr>
        <w:pStyle w:val="ListBullet"/>
        <w:ind w:left="360"/>
      </w:pPr>
      <w:r>
        <w:t>Empfehlung SAM/ITAM-Plattform ausgesprochen</w:t>
      </w:r>
    </w:p>
    <w:p>
      <w:pPr>
        <w:pStyle w:val="ListBullet"/>
        <w:ind w:left="360"/>
      </w:pPr>
      <w:r>
        <w:t>Dauerhaftes Lizenzmanagement etabliert</w:t>
      </w:r>
    </w:p>
    <w:p>
      <w:pPr>
        <w:pStyle w:val="ListBullet"/>
        <w:ind w:left="360"/>
      </w:pPr>
      <w:r>
        <w:t>Prozesse zwischen Fachbereich/Einkauf/FiBu/IT definiert</w:t>
      </w:r>
    </w:p>
    <w:p/>
    <w:p>
      <w:pPr>
        <w:pStyle w:val="Heading2"/>
      </w:pPr>
      <w:r>
        <w:rPr>
          <w:color w:val="000000"/>
          <w:sz w:val="32"/>
        </w:rPr>
        <w:t>Globales Software License Management VMware &amp; EMC Networker</w:t>
      </w:r>
    </w:p>
    <w:p>
      <w:r>
        <w:rPr>
          <w:i/>
          <w:color w:val="666666"/>
          <w:sz w:val="20"/>
        </w:rPr>
        <w:t>IT Service Provider | Atos IT Solutions / Siemens-Konzern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Aufbau weltweites Software License Management für VMware/EMC Networker. Transparente Bestandsführung, Lizenz-Compliance, wirtschaftliche Nutzung, Standardisierung interner Verrechnung. Verhandlung mehrerer Enterprise License Agreements (ELAs) und Implementierung Offshoring-Konzepte.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Analyse weltweite VMware-/EMC-Bestände inkl. Beteiligungen</w:t>
      </w:r>
    </w:p>
    <w:p>
      <w:pPr>
        <w:pStyle w:val="ListBullet"/>
        <w:ind w:left="360"/>
      </w:pPr>
      <w:r>
        <w:t>Kostenstellen-Zuordnung für interne Verrechnung</w:t>
      </w:r>
    </w:p>
    <w:p>
      <w:pPr>
        <w:pStyle w:val="ListBullet"/>
        <w:ind w:left="360"/>
      </w:pPr>
      <w:r>
        <w:t>Ableitung VMware-/Backup-Softwarestrategie</w:t>
      </w:r>
    </w:p>
    <w:p>
      <w:pPr>
        <w:pStyle w:val="ListBullet"/>
        <w:ind w:left="360"/>
      </w:pPr>
      <w:r>
        <w:t>ELA-Verhandlungen Siemens/Atos–VMware &amp; Siemens–Fujitsu</w:t>
      </w:r>
    </w:p>
    <w:p>
      <w:pPr>
        <w:pStyle w:val="ListBullet"/>
        <w:ind w:left="360"/>
      </w:pPr>
      <w:r>
        <w:t>Definition Chargeback-Modelle mit Controlling</w:t>
      </w:r>
    </w:p>
    <w:p>
      <w:pPr>
        <w:pStyle w:val="ListBullet"/>
        <w:ind w:left="360"/>
      </w:pPr>
      <w:r>
        <w:t>Offshoring-Konzepte (Rumänien, Polen, Niederlande)</w:t>
      </w:r>
    </w:p>
    <w:p>
      <w:pPr>
        <w:pStyle w:val="ListBullet"/>
        <w:ind w:left="360"/>
      </w:pPr>
      <w:r>
        <w:t>Lieferanten-/Vertragsmanagement VMware/EMC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VMware ELA • EMC Networker • Chargeback-Systeme • Offshore Delivery Centers • VMware Lizenzportal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Weltweite Lizenztransparenz über alle Standorte</w:t>
      </w:r>
    </w:p>
    <w:p>
      <w:pPr>
        <w:pStyle w:val="ListBullet"/>
        <w:ind w:left="360"/>
      </w:pPr>
      <w:r>
        <w:t>Standardisierte interne Verrechnung etabliert</w:t>
      </w:r>
    </w:p>
    <w:p>
      <w:pPr>
        <w:pStyle w:val="ListBullet"/>
        <w:ind w:left="360"/>
      </w:pPr>
      <w:r>
        <w:t>ELAs Siemens/Atos erfolgreich verhandelt und umgesetzt</w:t>
      </w:r>
    </w:p>
    <w:p>
      <w:pPr>
        <w:pStyle w:val="ListBullet"/>
        <w:ind w:left="360"/>
      </w:pPr>
      <w:r>
        <w:t>Offshoring operatives Lizenzmanagement implementiert</w:t>
      </w:r>
    </w:p>
    <w:p>
      <w:pPr>
        <w:pStyle w:val="ListBullet"/>
        <w:ind w:left="360"/>
      </w:pPr>
      <w:r>
        <w:t>Kontinuierliche Konditionsoptimierung sichergestellt</w:t>
      </w:r>
    </w:p>
    <w:p/>
    <w:p>
      <w:pPr>
        <w:pStyle w:val="Heading1"/>
      </w:pPr>
      <w:r>
        <w:rPr>
          <w:color w:val="1F4E78"/>
          <w:sz w:val="48"/>
        </w:rPr>
        <w:t>IT-Einkauf &amp; Vertragsmanagement</w:t>
      </w:r>
    </w:p>
    <w:p>
      <w:pPr>
        <w:pStyle w:val="Heading2"/>
      </w:pPr>
      <w:r>
        <w:rPr>
          <w:color w:val="000000"/>
          <w:sz w:val="32"/>
        </w:rPr>
        <w:t>Vertragsmanagement &amp; Compliance für digitale Vertriebsprozesse</w:t>
      </w:r>
    </w:p>
    <w:p>
      <w:r>
        <w:rPr>
          <w:i/>
          <w:color w:val="666666"/>
          <w:sz w:val="20"/>
        </w:rPr>
        <w:t>Energie | EnBW mobility+ | Laufend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Analyse, Prüfung und operative Umsetzung Vertragsprozesse im eMobility-Vertriebsprojekt. DSGVO-konforme Vertragsstrukturen, Optimierung interner Abläufe Recht/Vertrieb, Standardisierung Fristen-/Dokumentationsprozesse in cloudbasierten PMO-Strukturen.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DSGVO-konforme Vertragsprüfungen energiewirtschaftlich</w:t>
      </w:r>
    </w:p>
    <w:p>
      <w:pPr>
        <w:pStyle w:val="ListBullet"/>
        <w:ind w:left="360"/>
      </w:pPr>
      <w:r>
        <w:t>Erstellung/Anpassung/Individualisierung Verträge für Vertrieb</w:t>
      </w:r>
    </w:p>
    <w:p>
      <w:pPr>
        <w:pStyle w:val="ListBullet"/>
        <w:ind w:left="360"/>
      </w:pPr>
      <w:r>
        <w:t>Fristenmanagement und Nachverfolgung offener Vertragsthemen</w:t>
      </w:r>
    </w:p>
    <w:p>
      <w:pPr>
        <w:pStyle w:val="ListBullet"/>
        <w:ind w:left="360"/>
      </w:pPr>
      <w:r>
        <w:t>Analyse/Dokumentation Vertrags-/Freigabeprozesse</w:t>
      </w:r>
    </w:p>
    <w:p>
      <w:pPr>
        <w:pStyle w:val="ListBullet"/>
        <w:ind w:left="360"/>
      </w:pPr>
      <w:r>
        <w:t>Erstellung auditrelevanter Unterlagen</w:t>
      </w:r>
    </w:p>
    <w:p>
      <w:pPr>
        <w:pStyle w:val="ListBullet"/>
        <w:ind w:left="360"/>
      </w:pPr>
      <w:r>
        <w:t>Stakeholder-Kommunikation regulatorische Anforderungen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DSGVO-Compliance-Tools • Cloud PMO • Vertragsmanagementsysteme • Energiewirtschaft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DSGVO-konforme Vertragsstrukturen etabliert</w:t>
      </w:r>
    </w:p>
    <w:p>
      <w:pPr>
        <w:pStyle w:val="ListBullet"/>
        <w:ind w:left="360"/>
      </w:pPr>
      <w:r>
        <w:t>Standardisierte Fristen-/Dokumentationsprozesse</w:t>
      </w:r>
    </w:p>
    <w:p>
      <w:pPr>
        <w:pStyle w:val="ListBullet"/>
        <w:ind w:left="360"/>
      </w:pPr>
      <w:r>
        <w:t>Optimierte Abläufe Recht/Vertrieb</w:t>
      </w:r>
    </w:p>
    <w:p>
      <w:pPr>
        <w:pStyle w:val="ListBullet"/>
        <w:ind w:left="360"/>
      </w:pPr>
      <w:r>
        <w:t>Audit-sichere Unterlagen und Dokumentationsstandards</w:t>
      </w:r>
    </w:p>
    <w:p/>
    <w:p>
      <w:pPr>
        <w:pStyle w:val="Heading2"/>
      </w:pPr>
      <w:r>
        <w:rPr>
          <w:color w:val="000000"/>
          <w:sz w:val="32"/>
        </w:rPr>
        <w:t>Enterprise Architecture Management &amp; agile Führungsstrukturen</w:t>
      </w:r>
    </w:p>
    <w:p>
      <w:r>
        <w:rPr>
          <w:i/>
          <w:color w:val="666666"/>
          <w:sz w:val="20"/>
        </w:rPr>
        <w:t>IT-Dienstleistung (Bund) | BWI GmbH | Laufend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Ganzheitliches EAM eng verknüpft mit agilen Führungsprinzipien. IT-Bebauungsplanung nach TOGAF/COBIT/BAM. Einführung Kanban Flight Level 2, OKR, Lean Portfolio Management. Aufbau Architektur-Board und nachhaltige Governance-Struktur für Architektur und Transformation.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Operationalisierung Corporate-IT-Strategie mittels EAM</w:t>
      </w:r>
    </w:p>
    <w:p>
      <w:pPr>
        <w:pStyle w:val="ListBullet"/>
        <w:ind w:left="360"/>
      </w:pPr>
      <w:r>
        <w:t>Entwicklung EAM-Framework auf Basis TOGAF/BAM</w:t>
      </w:r>
    </w:p>
    <w:p>
      <w:pPr>
        <w:pStyle w:val="ListBullet"/>
        <w:ind w:left="360"/>
      </w:pPr>
      <w:r>
        <w:t>Aufbau Architektur-Board und Standards-Management</w:t>
      </w:r>
    </w:p>
    <w:p>
      <w:pPr>
        <w:pStyle w:val="ListBullet"/>
        <w:ind w:left="360"/>
      </w:pPr>
      <w:r>
        <w:t>Einführung KPI-System für Reifegrad/Wirksamkeit</w:t>
      </w:r>
    </w:p>
    <w:p>
      <w:pPr>
        <w:pStyle w:val="ListBullet"/>
        <w:ind w:left="360"/>
      </w:pPr>
      <w:r>
        <w:t>EAM-Health-Checks und Ableitung Verbesserungsmaßnahmen</w:t>
      </w:r>
    </w:p>
    <w:p>
      <w:pPr>
        <w:pStyle w:val="ListBullet"/>
        <w:ind w:left="360"/>
      </w:pPr>
      <w:r>
        <w:t>Coaching CIO-Teams Geschäftsarchitektur/agile Methoden</w:t>
      </w:r>
    </w:p>
    <w:p>
      <w:pPr>
        <w:pStyle w:val="ListBullet"/>
        <w:ind w:left="360"/>
      </w:pPr>
      <w:r>
        <w:t>Einführung Kanban Flight Level 2, OKR, Lean Portfolio Management</w:t>
      </w:r>
    </w:p>
    <w:p>
      <w:pPr>
        <w:pStyle w:val="ListBullet"/>
        <w:ind w:left="360"/>
      </w:pPr>
      <w:r>
        <w:t>Entwicklung Leadership-Programm agile Führungskultur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TOGAF • COBIT • BAM • Kanban Flight Level 2 • OKR • Lean Portfolio Management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EAM-Framework auf Basis TOGAF/BAM etabliert</w:t>
      </w:r>
    </w:p>
    <w:p>
      <w:pPr>
        <w:pStyle w:val="ListBullet"/>
        <w:ind w:left="360"/>
      </w:pPr>
      <w:r>
        <w:t>Architektur-Board operativ und Standards-Management aktiv</w:t>
      </w:r>
    </w:p>
    <w:p>
      <w:pPr>
        <w:pStyle w:val="ListBullet"/>
        <w:ind w:left="360"/>
      </w:pPr>
      <w:r>
        <w:t>KPI-System für Reifegrad implementiert</w:t>
      </w:r>
    </w:p>
    <w:p>
      <w:pPr>
        <w:pStyle w:val="ListBullet"/>
        <w:ind w:left="360"/>
      </w:pPr>
      <w:r>
        <w:t>Agile Führungskultur in Teams verankert</w:t>
      </w:r>
    </w:p>
    <w:p>
      <w:pPr>
        <w:pStyle w:val="ListBullet"/>
        <w:ind w:left="360"/>
      </w:pPr>
      <w:r>
        <w:t>Coach-the-Coach-Programm aufgebaut</w:t>
      </w:r>
    </w:p>
    <w:p/>
    <w:p>
      <w:pPr>
        <w:pStyle w:val="Heading2"/>
      </w:pPr>
      <w:r>
        <w:rPr>
          <w:color w:val="000000"/>
          <w:sz w:val="32"/>
        </w:rPr>
        <w:t>DORA Readiness: Lieferantenmanagement &amp; Risikoanalyse</w:t>
      </w:r>
    </w:p>
    <w:p>
      <w:r>
        <w:rPr>
          <w:i/>
          <w:color w:val="666666"/>
          <w:sz w:val="20"/>
        </w:rPr>
        <w:t>Finanzdienstleistung | BNP Paribas | 2024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Strukturiertes Lieferantenmanagement im Procurement gemäß Digital Operational Resilience Act (DORA). Systematische Identifikation, Bewertung, Dokumentation IT-/Cyberrisiken bei DORA-relevanten Drittanbietern. Risikobasierter Ansatz Lieferantenkommunikation.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Identifikation/Priorisierung DORA-relevanter Lieferanten</w:t>
      </w:r>
    </w:p>
    <w:p>
      <w:pPr>
        <w:pStyle w:val="ListBullet"/>
        <w:ind w:left="360"/>
      </w:pPr>
      <w:r>
        <w:t>Risikobasierte Kommunikation IT-/Cyber-Risk-Assessments</w:t>
      </w:r>
    </w:p>
    <w:p>
      <w:pPr>
        <w:pStyle w:val="ListBullet"/>
        <w:ind w:left="360"/>
      </w:pPr>
      <w:r>
        <w:t>Pflege DORA-Liste mit Bearbeitungsstatus</w:t>
      </w:r>
    </w:p>
    <w:p>
      <w:pPr>
        <w:pStyle w:val="ListBullet"/>
        <w:ind w:left="360"/>
      </w:pPr>
      <w:r>
        <w:t>Validierung/Konsistenzprüfung eingehender Fragebögen</w:t>
      </w:r>
    </w:p>
    <w:p>
      <w:pPr>
        <w:pStyle w:val="ListBullet"/>
        <w:ind w:left="360"/>
      </w:pPr>
      <w:r>
        <w:t>Fachliche Analyse/Bewertung gemäß DORA-Vorgaben</w:t>
      </w:r>
    </w:p>
    <w:p>
      <w:pPr>
        <w:pStyle w:val="ListBullet"/>
        <w:ind w:left="360"/>
      </w:pPr>
      <w:r>
        <w:t>Dokumentation Bewertungsergebnisse im Einkaufstool</w:t>
      </w:r>
    </w:p>
    <w:p>
      <w:pPr>
        <w:pStyle w:val="ListBullet"/>
        <w:ind w:left="360"/>
      </w:pPr>
      <w:r>
        <w:t>Zusammenarbeit Stakeholder für Stammdatenverifikation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DORA-Compliance-Framework • Risk Assessment Tools • IT-/Cyber-Security-Bewertung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DORA-konforme Lieferantenübersicht etabliert</w:t>
      </w:r>
    </w:p>
    <w:p>
      <w:pPr>
        <w:pStyle w:val="ListBullet"/>
        <w:ind w:left="360"/>
      </w:pPr>
      <w:r>
        <w:t>Risikobasierte Bewertung aller Drittanbieter</w:t>
      </w:r>
    </w:p>
    <w:p>
      <w:pPr>
        <w:pStyle w:val="ListBullet"/>
        <w:ind w:left="360"/>
      </w:pPr>
      <w:r>
        <w:t>Vollständige Risk-Assessments durchgeführt</w:t>
      </w:r>
    </w:p>
    <w:p>
      <w:pPr>
        <w:pStyle w:val="ListBullet"/>
        <w:ind w:left="360"/>
      </w:pPr>
      <w:r>
        <w:t>Erhöhung digitale Resilienz und regulatorische Compliance</w:t>
      </w:r>
    </w:p>
    <w:p/>
    <w:p>
      <w:pPr>
        <w:pStyle w:val="Heading2"/>
      </w:pPr>
      <w:r>
        <w:rPr>
          <w:color w:val="000000"/>
          <w:sz w:val="32"/>
        </w:rPr>
        <w:t>Global Strategic Procurement &amp; Vendor Governance</w:t>
      </w:r>
    </w:p>
    <w:p>
      <w:r>
        <w:rPr>
          <w:i/>
          <w:color w:val="666666"/>
          <w:sz w:val="20"/>
        </w:rPr>
        <w:t>Öl- und Gasbranche | Wintershall Dea | Laufend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Operative/strategische Steuerung globale IT-Beschaffung Kategorie 'Managed Services'. Zentralisierte Procurement-Strategie, End-to-End-Sourcing inkl. RFP-Verfahren, Vertragsverhandlungen, Claim Management, Lieferantenbewertung mit Finance/Compliance.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Kategoriestrategien Managed Services &amp; Source-to-Contract</w:t>
      </w:r>
    </w:p>
    <w:p>
      <w:pPr>
        <w:pStyle w:val="ListBullet"/>
        <w:ind w:left="360"/>
      </w:pPr>
      <w:r>
        <w:t>Globale RFP-Prozesse, Bedarfsanalysen, Auswahlverfahren</w:t>
      </w:r>
    </w:p>
    <w:p>
      <w:pPr>
        <w:pStyle w:val="ListBullet"/>
        <w:ind w:left="360"/>
      </w:pPr>
      <w:r>
        <w:t>Spend-Analysen zur TCO-Optimierung</w:t>
      </w:r>
    </w:p>
    <w:p>
      <w:pPr>
        <w:pStyle w:val="ListBullet"/>
        <w:ind w:left="360"/>
      </w:pPr>
      <w:r>
        <w:t>Stakeholder-Management IT/Finance/SteerCos</w:t>
      </w:r>
    </w:p>
    <w:p>
      <w:pPr>
        <w:pStyle w:val="ListBullet"/>
        <w:ind w:left="360"/>
      </w:pPr>
      <w:r>
        <w:t>Verhandlungen neue/bestehende Lieferanten</w:t>
      </w:r>
    </w:p>
    <w:p>
      <w:pPr>
        <w:pStyle w:val="ListBullet"/>
        <w:ind w:left="360"/>
      </w:pPr>
      <w:r>
        <w:t>Proaktive Vertragsoptimierung Performancekennzahlen</w:t>
      </w:r>
    </w:p>
    <w:p>
      <w:pPr>
        <w:pStyle w:val="ListBullet"/>
        <w:ind w:left="360"/>
      </w:pPr>
      <w:r>
        <w:t>Reporting KPI/Risiko/Performance</w:t>
      </w:r>
    </w:p>
    <w:p>
      <w:pPr>
        <w:pStyle w:val="ListBullet"/>
        <w:ind w:left="360"/>
      </w:pPr>
      <w:r>
        <w:t>TSA-Vorbereitung Geschäftsaufspaltungen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RFP-Management • TCO-Analyse • Vendor Performance Management • TSA • Global Sourcing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Zentralisierte Procurement-Strategie umgesetzt</w:t>
      </w:r>
    </w:p>
    <w:p>
      <w:pPr>
        <w:pStyle w:val="ListBullet"/>
        <w:ind w:left="360"/>
      </w:pPr>
      <w:r>
        <w:t>TCO-Optimierung durch Sourcing erreicht</w:t>
      </w:r>
    </w:p>
    <w:p>
      <w:pPr>
        <w:pStyle w:val="ListBullet"/>
        <w:ind w:left="360"/>
      </w:pPr>
      <w:r>
        <w:t>Reduzierte Lieferantenanzahl (Konsolidierung)</w:t>
      </w:r>
    </w:p>
    <w:p>
      <w:pPr>
        <w:pStyle w:val="ListBullet"/>
        <w:ind w:left="360"/>
      </w:pPr>
      <w:r>
        <w:t>Optimierte Vertragskonditionen und SLAs</w:t>
      </w:r>
    </w:p>
    <w:p>
      <w:pPr>
        <w:pStyle w:val="ListBullet"/>
        <w:ind w:left="360"/>
      </w:pPr>
      <w:r>
        <w:t>TSA-ready Vertragsstruktur für M&amp;A</w:t>
      </w:r>
    </w:p>
    <w:p/>
    <w:p>
      <w:pPr>
        <w:pStyle w:val="Heading2"/>
      </w:pPr>
      <w:r>
        <w:rPr>
          <w:color w:val="000000"/>
          <w:sz w:val="32"/>
        </w:rPr>
        <w:t>Strategic IT Procurement Transformation</w:t>
      </w:r>
    </w:p>
    <w:p>
      <w:r>
        <w:rPr>
          <w:i/>
          <w:color w:val="666666"/>
          <w:sz w:val="20"/>
        </w:rPr>
        <w:t>Medizintechnik/Gesundheit | Paul Hartmann AG | Laufend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Strategische Neuausrichtung/Skalierung IT-Beschaffungsorganisation. Aufbau durchgängiges, standardisiertes, digitalisiertes End-to-End Procurement Framework inkl. Kostenoptimierung, Lieferantensteuerung, enger Zusammenarbeit C-Level.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End-to-End-Beschaffungsprozess Software/Infrastruktur/Telco</w:t>
      </w:r>
    </w:p>
    <w:p>
      <w:pPr>
        <w:pStyle w:val="ListBullet"/>
        <w:ind w:left="360"/>
      </w:pPr>
      <w:r>
        <w:t>Einführung Target Operating Model digitale Transformation</w:t>
      </w:r>
    </w:p>
    <w:p>
      <w:pPr>
        <w:pStyle w:val="ListBullet"/>
        <w:ind w:left="360"/>
      </w:pPr>
      <w:r>
        <w:t>Aufbau strategischer Beziehungen CIO/CDO</w:t>
      </w:r>
    </w:p>
    <w:p>
      <w:pPr>
        <w:pStyle w:val="ListBullet"/>
        <w:ind w:left="360"/>
      </w:pPr>
      <w:r>
        <w:t>Entwicklung/Einführung Vendor-Management-Prozesse</w:t>
      </w:r>
    </w:p>
    <w:p>
      <w:pPr>
        <w:pStyle w:val="ListBullet"/>
        <w:ind w:left="360"/>
      </w:pPr>
      <w:r>
        <w:t>Spend-Analysen zur Identifikation Einsparpotenziale</w:t>
      </w:r>
    </w:p>
    <w:p>
      <w:pPr>
        <w:pStyle w:val="ListBullet"/>
        <w:ind w:left="360"/>
      </w:pPr>
      <w:r>
        <w:t>Aufbau KPI-Dashboards und Reporting</w:t>
      </w:r>
    </w:p>
    <w:p>
      <w:pPr>
        <w:pStyle w:val="ListBullet"/>
        <w:ind w:left="360"/>
      </w:pPr>
      <w:r>
        <w:t>Personalaufbau Einkauf: Recruiting/Coaching</w:t>
      </w:r>
    </w:p>
    <w:p>
      <w:pPr>
        <w:pStyle w:val="ListBullet"/>
        <w:ind w:left="360"/>
      </w:pPr>
      <w:r>
        <w:t>Claim Management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Target Operating Model • End-to-End Procurement • Spend Analytics • Vendor Management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End-to-End-Framework etabliert</w:t>
      </w:r>
    </w:p>
    <w:p>
      <w:pPr>
        <w:pStyle w:val="ListBullet"/>
        <w:ind w:left="360"/>
      </w:pPr>
      <w:r>
        <w:t>Digitale Transformation Procurement umgesetzt</w:t>
      </w:r>
    </w:p>
    <w:p>
      <w:pPr>
        <w:pStyle w:val="ListBullet"/>
        <w:ind w:left="360"/>
      </w:pPr>
      <w:r>
        <w:t>Identifizierte Einsparpotenziale realisiert</w:t>
      </w:r>
    </w:p>
    <w:p>
      <w:pPr>
        <w:pStyle w:val="ListBullet"/>
        <w:ind w:left="360"/>
      </w:pPr>
      <w:r>
        <w:t>Vendor-Management-Prozesse standardisiert</w:t>
      </w:r>
    </w:p>
    <w:p>
      <w:pPr>
        <w:pStyle w:val="ListBullet"/>
        <w:ind w:left="360"/>
      </w:pPr>
      <w:r>
        <w:t>Team erfolgreich aufgebaut und entwickelt</w:t>
      </w:r>
    </w:p>
    <w:p/>
    <w:p>
      <w:pPr>
        <w:pStyle w:val="Heading2"/>
      </w:pPr>
      <w:r>
        <w:rPr>
          <w:color w:val="000000"/>
          <w:sz w:val="32"/>
        </w:rPr>
        <w:t>Strategic IT Sourcing &amp; Compliance-driven Procurement</w:t>
      </w:r>
    </w:p>
    <w:p>
      <w:r>
        <w:rPr>
          <w:i/>
          <w:color w:val="666666"/>
          <w:sz w:val="20"/>
        </w:rPr>
        <w:t>Finanzdienstleistung | BNP PARIBAS | Laufend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Leitung strategischer IT-Einkauf, Umsetzung standardisierter Beschaffungs-/Ausschreibungsprozesse (RFX). TCO-Reduktion, Effizienzsteigerung Lieferantenportfolio, Einhaltung regulatorischer Beschaffungsrichtlinien mit hoher Eigenverantwortung.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IT-Sourcing-Strategien zur Kostenoptimierung</w:t>
      </w:r>
    </w:p>
    <w:p>
      <w:pPr>
        <w:pStyle w:val="ListBullet"/>
        <w:ind w:left="360"/>
      </w:pPr>
      <w:r>
        <w:t>Markt-/Kostenanalysen Einsparpotenziale</w:t>
      </w:r>
    </w:p>
    <w:p>
      <w:pPr>
        <w:pStyle w:val="ListBullet"/>
        <w:ind w:left="360"/>
      </w:pPr>
      <w:r>
        <w:t>Standardisierter End-to-End-Beschaffungsprozess inkl. RFX</w:t>
      </w:r>
    </w:p>
    <w:p>
      <w:pPr>
        <w:pStyle w:val="ListBullet"/>
        <w:ind w:left="360"/>
      </w:pPr>
      <w:r>
        <w:t>Bedarfsplanung/Budgetabstimmung/Validierung Einsparungen</w:t>
      </w:r>
    </w:p>
    <w:p>
      <w:pPr>
        <w:pStyle w:val="ListBullet"/>
        <w:ind w:left="360"/>
      </w:pPr>
      <w:r>
        <w:t>Activity Planning zur Koordination Sourcing-Vorhaben</w:t>
      </w:r>
    </w:p>
    <w:p>
      <w:pPr>
        <w:pStyle w:val="ListBullet"/>
        <w:ind w:left="360"/>
      </w:pPr>
      <w:r>
        <w:t>Lieferantenauswahlprozesse inkl. Risikobewertung</w:t>
      </w:r>
    </w:p>
    <w:p>
      <w:pPr>
        <w:pStyle w:val="ListBullet"/>
        <w:ind w:left="360"/>
      </w:pPr>
      <w:r>
        <w:t>KPI-basiertes Tracking Sourcing-Entscheidungen</w:t>
      </w:r>
    </w:p>
    <w:p>
      <w:pPr>
        <w:pStyle w:val="ListBullet"/>
        <w:ind w:left="360"/>
      </w:pPr>
      <w:r>
        <w:t>Prüfungsrelevante Dokumentation (Procurement Files)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RFX-Management • TCO-Analyse • Compliance-driven Procurement • Risk Assessment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TCO-Reduktion durch Sourcing-Strategien</w:t>
      </w:r>
    </w:p>
    <w:p>
      <w:pPr>
        <w:pStyle w:val="ListBullet"/>
        <w:ind w:left="360"/>
      </w:pPr>
      <w:r>
        <w:t>Standardisierte Beschaffungsprozesse etabliert</w:t>
      </w:r>
    </w:p>
    <w:p>
      <w:pPr>
        <w:pStyle w:val="ListBullet"/>
        <w:ind w:left="360"/>
      </w:pPr>
      <w:r>
        <w:t>Compliance-driven Supplier Selection</w:t>
      </w:r>
    </w:p>
    <w:p>
      <w:pPr>
        <w:pStyle w:val="ListBullet"/>
        <w:ind w:left="360"/>
      </w:pPr>
      <w:r>
        <w:t>Transparentes KPI-Tracking implementiert</w:t>
      </w:r>
    </w:p>
    <w:p>
      <w:pPr>
        <w:pStyle w:val="ListBullet"/>
        <w:ind w:left="360"/>
      </w:pPr>
      <w:r>
        <w:t>Audit-sichere Dokumentation sichergestellt</w:t>
      </w:r>
    </w:p>
    <w:p/>
    <w:p>
      <w:pPr>
        <w:pStyle w:val="Heading1"/>
      </w:pPr>
      <w:r>
        <w:rPr>
          <w:color w:val="1F4E78"/>
          <w:sz w:val="48"/>
        </w:rPr>
        <w:t>ITSM &amp; IT-Transformation</w:t>
      </w:r>
    </w:p>
    <w:p>
      <w:pPr>
        <w:pStyle w:val="Heading2"/>
      </w:pPr>
      <w:r>
        <w:rPr>
          <w:color w:val="000000"/>
          <w:sz w:val="32"/>
        </w:rPr>
        <w:t>ITSM-Transformation &amp; Betriebsstabilisierung mit Cloud</w:t>
      </w:r>
    </w:p>
    <w:p>
      <w:r>
        <w:rPr>
          <w:i/>
          <w:color w:val="666666"/>
          <w:sz w:val="20"/>
        </w:rPr>
        <w:t>Energiewirtschaft | Link Digital GmbH | Laufend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Strategisches ITSM-Transformationsprojekt zur Etablierung prozessorientierter IT-Services in hybrider IT-Landschaft. Vollständige Einführung ITIL-basierter Prozesse, Optimierung Servicequalität, Sicherstellung stabiler Betrieb Cloud-Umfeld.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Einführung/Weiterentwicklung ITSM-Prozesse nach ITIL v4</w:t>
      </w:r>
    </w:p>
    <w:p>
      <w:pPr>
        <w:pStyle w:val="ListBullet"/>
        <w:ind w:left="360"/>
      </w:pPr>
      <w:r>
        <w:t>Aufbau prozessorientiertes Betriebsmodell intern/extern</w:t>
      </w:r>
    </w:p>
    <w:p>
      <w:pPr>
        <w:pStyle w:val="ListBullet"/>
        <w:ind w:left="360"/>
      </w:pPr>
      <w:r>
        <w:t>Umsetzung Incident/Problem/Change/Configuration Management</w:t>
      </w:r>
    </w:p>
    <w:p>
      <w:pPr>
        <w:pStyle w:val="ListBullet"/>
        <w:ind w:left="360"/>
      </w:pPr>
      <w:r>
        <w:t>Implementierung IT-Asset-/Monitoring-System</w:t>
      </w:r>
    </w:p>
    <w:p>
      <w:pPr>
        <w:pStyle w:val="ListBullet"/>
        <w:ind w:left="360"/>
      </w:pPr>
      <w:r>
        <w:t>Konzeption Servicedesk/Service Level/Request Management</w:t>
      </w:r>
    </w:p>
    <w:p>
      <w:pPr>
        <w:pStyle w:val="ListBullet"/>
        <w:ind w:left="360"/>
      </w:pPr>
      <w:r>
        <w:t>Koordination/Führung Helpdesk-Organisation</w:t>
      </w:r>
    </w:p>
    <w:p>
      <w:pPr>
        <w:pStyle w:val="ListBullet"/>
        <w:ind w:left="360"/>
      </w:pPr>
      <w:r>
        <w:t>Modellierung End-to-End-Serviceprozesse im ITSM-Tool</w:t>
      </w:r>
    </w:p>
    <w:p>
      <w:pPr>
        <w:pStyle w:val="ListBullet"/>
        <w:ind w:left="360"/>
      </w:pPr>
      <w:r>
        <w:t>Steuerung externer Dienstleister SLA/OLA-Überwachung</w:t>
      </w:r>
    </w:p>
    <w:p>
      <w:pPr>
        <w:pStyle w:val="ListBullet"/>
        <w:ind w:left="360"/>
      </w:pPr>
      <w:r>
        <w:t>Betriebsstabilität Cloud-/On-Premise-Systeme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ITIL v4 • ITSM-Tool • IT-Asset Management • Monitoring • Hybrid Cloud • SLA/OLA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ITIL-basierte Prozesse vollständig etabliert</w:t>
      </w:r>
    </w:p>
    <w:p>
      <w:pPr>
        <w:pStyle w:val="ListBullet"/>
        <w:ind w:left="360"/>
      </w:pPr>
      <w:r>
        <w:t>Prozessorientiertes Betriebsmodell intern/extern</w:t>
      </w:r>
    </w:p>
    <w:p>
      <w:pPr>
        <w:pStyle w:val="ListBullet"/>
        <w:ind w:left="360"/>
      </w:pPr>
      <w:r>
        <w:t>Betriebsstabilität in hybrider IT gewährleistet</w:t>
      </w:r>
    </w:p>
    <w:p>
      <w:pPr>
        <w:pStyle w:val="ListBullet"/>
        <w:ind w:left="360"/>
      </w:pPr>
      <w:r>
        <w:t>SLA/OLA-Überwachung implementiert</w:t>
      </w:r>
    </w:p>
    <w:p>
      <w:pPr>
        <w:pStyle w:val="ListBullet"/>
        <w:ind w:left="360"/>
      </w:pPr>
      <w:r>
        <w:t>Servicequalität messbar optimiert</w:t>
      </w:r>
    </w:p>
    <w:p/>
    <w:p>
      <w:pPr>
        <w:pStyle w:val="Heading2"/>
      </w:pPr>
      <w:r>
        <w:rPr>
          <w:color w:val="000000"/>
          <w:sz w:val="32"/>
        </w:rPr>
        <w:t>IT-Service-Management in DevOps-Systemlandschaft</w:t>
      </w:r>
    </w:p>
    <w:p>
      <w:r>
        <w:rPr>
          <w:i/>
          <w:color w:val="666666"/>
          <w:sz w:val="20"/>
        </w:rPr>
        <w:t>Öffentliche Verwaltung | Bundesagentur für Arbeit | Laufend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Analyse, Neuausrichtung, Integration ITSM-Geschäftsprozesse im Rahmen organisationsweiter ITSM-Strategie. Verzahnung Service-Management mit DevOps-Bereitstellungspipeline, klare Schnittstellen Deployment/Release/Architektur.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Risiko-/Deployment-/Releasemanagement Service-Transition</w:t>
      </w:r>
    </w:p>
    <w:p>
      <w:pPr>
        <w:pStyle w:val="ListBullet"/>
        <w:ind w:left="360"/>
      </w:pPr>
      <w:r>
        <w:t>Analyse/Modellierung Geschäftsprozesse ITSM-Einordnung</w:t>
      </w:r>
    </w:p>
    <w:p>
      <w:pPr>
        <w:pStyle w:val="ListBullet"/>
        <w:ind w:left="360"/>
      </w:pPr>
      <w:r>
        <w:t>Entwicklung Integrationskonzept ITSM-Gesamtsystem</w:t>
      </w:r>
    </w:p>
    <w:p>
      <w:pPr>
        <w:pStyle w:val="ListBullet"/>
        <w:ind w:left="360"/>
      </w:pPr>
      <w:r>
        <w:t>Identifikation Software-Architektur DevOps-Kontext</w:t>
      </w:r>
    </w:p>
    <w:p>
      <w:pPr>
        <w:pStyle w:val="ListBullet"/>
        <w:ind w:left="360"/>
      </w:pPr>
      <w:r>
        <w:t>Analyse/Dokumentation Continuous Deployment-Pipeline</w:t>
      </w:r>
    </w:p>
    <w:p>
      <w:pPr>
        <w:pStyle w:val="ListBullet"/>
        <w:ind w:left="360"/>
      </w:pPr>
      <w:r>
        <w:t>Konzeption Systemunterstützung ITSM-Prozesse</w:t>
      </w:r>
    </w:p>
    <w:p>
      <w:pPr>
        <w:pStyle w:val="ListBullet"/>
        <w:ind w:left="360"/>
      </w:pPr>
      <w:r>
        <w:t>Datenanbindung Drittsysteme</w:t>
      </w:r>
    </w:p>
    <w:p>
      <w:pPr>
        <w:pStyle w:val="ListBullet"/>
        <w:ind w:left="360"/>
      </w:pPr>
      <w:r>
        <w:t>Redis In-Memory Cache in Container-Architektur</w:t>
      </w:r>
    </w:p>
    <w:p>
      <w:pPr>
        <w:pStyle w:val="ListBullet"/>
        <w:ind w:left="360"/>
      </w:pPr>
      <w:r>
        <w:t>Container-Orchestrierung Kubernetes/SUSE-Rancher</w:t>
      </w:r>
    </w:p>
    <w:p>
      <w:pPr>
        <w:pStyle w:val="ListBullet"/>
        <w:ind w:left="360"/>
      </w:pPr>
      <w:r>
        <w:t>Cloud-Betriebsmodelle IaaS/PaaS/SaaS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ITIL • DevOps • Kubernetes • SUSE Rancher • Redis • Continuous Deployment • IaaS/PaaS/SaaS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ITSM-DevOps-Integration erfolgreich</w:t>
      </w:r>
    </w:p>
    <w:p>
      <w:pPr>
        <w:pStyle w:val="ListBullet"/>
        <w:ind w:left="360"/>
      </w:pPr>
      <w:r>
        <w:t>Deployment-Pipeline vollständig dokumentiert</w:t>
      </w:r>
    </w:p>
    <w:p>
      <w:pPr>
        <w:pStyle w:val="ListBullet"/>
        <w:ind w:left="360"/>
      </w:pPr>
      <w:r>
        <w:t>Container-Orchestrierung mit Kubernetes etabliert</w:t>
      </w:r>
    </w:p>
    <w:p>
      <w:pPr>
        <w:pStyle w:val="ListBullet"/>
        <w:ind w:left="360"/>
      </w:pPr>
      <w:r>
        <w:t>Hybrid-Cloud-Architekturen implementiert</w:t>
      </w:r>
    </w:p>
    <w:p>
      <w:pPr>
        <w:pStyle w:val="ListBullet"/>
        <w:ind w:left="360"/>
      </w:pPr>
      <w:r>
        <w:t>Service-Transition-Prozesse optimiert</w:t>
      </w:r>
    </w:p>
    <w:p/>
    <w:p>
      <w:pPr>
        <w:pStyle w:val="Heading2"/>
      </w:pPr>
      <w:r>
        <w:rPr>
          <w:color w:val="000000"/>
          <w:sz w:val="32"/>
        </w:rPr>
        <w:t>Anwendungs-/Datenmigration mit Cloud-Integration Behördenumfeld</w:t>
      </w:r>
    </w:p>
    <w:p>
      <w:r>
        <w:rPr>
          <w:i/>
          <w:color w:val="666666"/>
          <w:sz w:val="20"/>
        </w:rPr>
        <w:t>Behörde | KfW Bank | Laufend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Komplexes Migrations-/Integrationsprojekt Ablösung bestehender Systeme, Einführung neuer IT-Anwendungen mit Microsoft Azure/M365-Anbindung. Serviceorientierte Plattform Digitalisierung Beschaffungs-/HR-Prozesse inkl. Governance, IT-Security, Datenschutz, Cloud-Readiness.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Gesamtverantwortung Projektplanung/-steuerung 8.000 Anwender</w:t>
      </w:r>
    </w:p>
    <w:p>
      <w:pPr>
        <w:pStyle w:val="ListBullet"/>
        <w:ind w:left="360"/>
      </w:pPr>
      <w:r>
        <w:t>Prince2/Scrum: Sprintplanung/Backlogmanagement</w:t>
      </w:r>
    </w:p>
    <w:p>
      <w:pPr>
        <w:pStyle w:val="ListBullet"/>
        <w:ind w:left="360"/>
      </w:pPr>
      <w:r>
        <w:t>Analyse Systemlandschaft/Schnittstellen/Geschäftsprozesse</w:t>
      </w:r>
    </w:p>
    <w:p>
      <w:pPr>
        <w:pStyle w:val="ListBullet"/>
        <w:ind w:left="360"/>
      </w:pPr>
      <w:r>
        <w:t>Systemarchitektur/Lasten-/Pflichtenhefte/User Stories</w:t>
      </w:r>
    </w:p>
    <w:p>
      <w:pPr>
        <w:pStyle w:val="ListBullet"/>
        <w:ind w:left="360"/>
      </w:pPr>
      <w:r>
        <w:t>Durchführung Systemtests Fachbereiche/IT-Entwicklung</w:t>
      </w:r>
    </w:p>
    <w:p>
      <w:pPr>
        <w:pStyle w:val="ListBullet"/>
        <w:ind w:left="360"/>
      </w:pPr>
      <w:r>
        <w:t>Migration Daten/Anwendungen: Azure AD/SharePoint/SaaS</w:t>
      </w:r>
    </w:p>
    <w:p>
      <w:pPr>
        <w:pStyle w:val="ListBullet"/>
        <w:ind w:left="360"/>
      </w:pPr>
      <w:r>
        <w:t>Low-Code/Middleware Datenmigrationen</w:t>
      </w:r>
    </w:p>
    <w:p>
      <w:pPr>
        <w:pStyle w:val="ListBullet"/>
        <w:ind w:left="360"/>
      </w:pPr>
      <w:r>
        <w:t>IT-Security/Datenschutz: DSGVO/Zugriffsmanagement</w:t>
      </w:r>
    </w:p>
    <w:p>
      <w:pPr>
        <w:pStyle w:val="ListBullet"/>
        <w:ind w:left="360"/>
      </w:pPr>
      <w:r>
        <w:t>Ausschreibung/Evaluation Dienstleister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Prince2 • Scrum • Microsoft Azure • Azure AD • SharePoint • M365 • Low-Code/Middleware • DSGVO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Migration 8.000 Anwender erfolgreich abgeschlossen</w:t>
      </w:r>
    </w:p>
    <w:p>
      <w:pPr>
        <w:pStyle w:val="ListBullet"/>
        <w:ind w:left="360"/>
      </w:pPr>
      <w:r>
        <w:t>Vollständige Azure/M365-Integration</w:t>
      </w:r>
    </w:p>
    <w:p>
      <w:pPr>
        <w:pStyle w:val="ListBullet"/>
        <w:ind w:left="360"/>
      </w:pPr>
      <w:r>
        <w:t>DSGVO-konforme Architektur implementiert</w:t>
      </w:r>
    </w:p>
    <w:p>
      <w:pPr>
        <w:pStyle w:val="ListBullet"/>
        <w:ind w:left="360"/>
      </w:pPr>
      <w:r>
        <w:t>Digitalisierte Beschaffungs-/HR-Prozesse</w:t>
      </w:r>
    </w:p>
    <w:p>
      <w:pPr>
        <w:pStyle w:val="ListBullet"/>
        <w:ind w:left="360"/>
      </w:pPr>
      <w:r>
        <w:t>Notfallpläne und Incident-Handling etabliert</w:t>
      </w:r>
    </w:p>
    <w:p/>
    <w:p>
      <w:pPr>
        <w:pStyle w:val="Heading2"/>
      </w:pPr>
      <w:r>
        <w:rPr>
          <w:color w:val="000000"/>
          <w:sz w:val="32"/>
        </w:rPr>
        <w:t>Modernisierung IT-Infrastruktur mit M365-Integration</w:t>
      </w:r>
    </w:p>
    <w:p>
      <w:r>
        <w:rPr>
          <w:i/>
          <w:color w:val="666666"/>
          <w:sz w:val="20"/>
        </w:rPr>
        <w:t>Handel | Laufend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Unternehmensweites Infrastrukturprojekt Modernisierung IT-Landschaft. Einführung/Konfiguration M365-Produkte, Migration Daten/Anwendungen Cloud (Azure AD, Exchange Online, SharePoint), Roll-out sicherheitsrelevanter IT-Komponenten. Hybrides Projektvorgehen (klassisch &amp; agil).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Projektleitung M365-Produkte (Exchange Online, SharePoint, OneDrive, Teams, Power BI)</w:t>
      </w:r>
    </w:p>
    <w:p>
      <w:pPr>
        <w:pStyle w:val="ListBullet"/>
        <w:ind w:left="360"/>
      </w:pPr>
      <w:r>
        <w:t>Konzeption Workplace-/Lifecycle-Management</w:t>
      </w:r>
    </w:p>
    <w:p>
      <w:pPr>
        <w:pStyle w:val="ListBullet"/>
        <w:ind w:left="360"/>
      </w:pPr>
      <w:r>
        <w:t>Anwendungsdesign Cloud-/Migrationsprojekte</w:t>
      </w:r>
    </w:p>
    <w:p>
      <w:pPr>
        <w:pStyle w:val="ListBullet"/>
        <w:ind w:left="360"/>
      </w:pPr>
      <w:r>
        <w:t>Migration Daten/Anwendungen: Azure AD/Exchange Online</w:t>
      </w:r>
    </w:p>
    <w:p>
      <w:pPr>
        <w:pStyle w:val="ListBullet"/>
        <w:ind w:left="360"/>
      </w:pPr>
      <w:r>
        <w:t>Roll-out Hardware/Betriebssysteme/Anwendungen/Sicherheitslösungen</w:t>
      </w:r>
    </w:p>
    <w:p>
      <w:pPr>
        <w:pStyle w:val="ListBullet"/>
        <w:ind w:left="360"/>
      </w:pPr>
      <w:r>
        <w:t>ITIL-Prozesse: Incident/Problem/Change/Risiko/Configuration Management</w:t>
      </w:r>
    </w:p>
    <w:p>
      <w:pPr>
        <w:pStyle w:val="ListBullet"/>
        <w:ind w:left="360"/>
      </w:pPr>
      <w:r>
        <w:t>Lasten-/Pflichtenhefte Managed Services</w:t>
      </w:r>
    </w:p>
    <w:p>
      <w:pPr>
        <w:pStyle w:val="ListBullet"/>
        <w:ind w:left="360"/>
      </w:pPr>
      <w:r>
        <w:t>Storage-Lösungen IBM/NetApp Rechenzentren</w:t>
      </w:r>
    </w:p>
    <w:p>
      <w:pPr>
        <w:pStyle w:val="ListBullet"/>
        <w:ind w:left="360"/>
      </w:pPr>
      <w:r>
        <w:t>Cloud-Betriebsmodelle IaaS/PaaS/SaaS</w:t>
      </w:r>
    </w:p>
    <w:p>
      <w:pPr>
        <w:pStyle w:val="ListBullet"/>
        <w:ind w:left="360"/>
      </w:pPr>
      <w:r>
        <w:t>Notfall-/Backup-Konzept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Microsoft 365 • Exchange Online • SharePoint • OneDrive • Teams • Power BI • Azure AD • IBM/NetApp • ITIL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M365-Migration erfolgreich umgesetzt</w:t>
      </w:r>
    </w:p>
    <w:p>
      <w:pPr>
        <w:pStyle w:val="ListBullet"/>
        <w:ind w:left="360"/>
      </w:pPr>
      <w:r>
        <w:t>Workplace-/Lifecycle-Management etabliert</w:t>
      </w:r>
    </w:p>
    <w:p>
      <w:pPr>
        <w:pStyle w:val="ListBullet"/>
        <w:ind w:left="360"/>
      </w:pPr>
      <w:r>
        <w:t>Cloud-Betriebsmodelle IaaS/PaaS/SaaS implementiert</w:t>
      </w:r>
    </w:p>
    <w:p>
      <w:pPr>
        <w:pStyle w:val="ListBullet"/>
        <w:ind w:left="360"/>
      </w:pPr>
      <w:r>
        <w:t>ITIL-Prozesse vollständig eingeführt</w:t>
      </w:r>
    </w:p>
    <w:p>
      <w:pPr>
        <w:pStyle w:val="ListBullet"/>
        <w:ind w:left="360"/>
      </w:pPr>
      <w:r>
        <w:t>Notfall-/Backup-Konzept operativ</w:t>
      </w:r>
    </w:p>
    <w:p/>
    <w:p>
      <w:pPr>
        <w:pStyle w:val="Heading2"/>
      </w:pPr>
      <w:r>
        <w:rPr>
          <w:color w:val="000000"/>
          <w:sz w:val="32"/>
        </w:rPr>
        <w:t>Modernisierung IT-Infrastruktur: Virtualisierung, IT-Security, ITSM</w:t>
      </w:r>
    </w:p>
    <w:p>
      <w:r>
        <w:rPr>
          <w:i/>
          <w:color w:val="666666"/>
          <w:sz w:val="20"/>
        </w:rPr>
        <w:t>Konsumgüterindustrie | Laufend</w:t>
      </w:r>
    </w:p>
    <w:p>
      <w:r>
        <w:rPr>
          <w:b/>
          <w:color w:val="2E75B5"/>
          <w:sz w:val="24"/>
        </w:rPr>
        <w:t>Projektbeschreibung &amp; Kontext</w:t>
      </w:r>
    </w:p>
    <w:p>
      <w:pPr>
        <w:jc w:val="both"/>
      </w:pPr>
      <w:r>
        <w:t>Infrastrukturprojekt umfassende Modernisierung IT-Systemlandschaft Mittelstand. Stabile, hochverfügbare Betriebsplattform durch Virtualisierung, Einführung ITSM-Tool Prozesssteuerung, Etablierung sicherheitsrelevanter Standards für Betrieb.</w:t>
      </w:r>
    </w:p>
    <w:p>
      <w:r>
        <w:rPr>
          <w:b/>
          <w:color w:val="2E75B5"/>
          <w:sz w:val="24"/>
        </w:rPr>
        <w:t>Lösungsansatz &amp; Tätigkeiten</w:t>
      </w:r>
    </w:p>
    <w:p>
      <w:pPr>
        <w:pStyle w:val="ListBullet"/>
        <w:ind w:left="360"/>
      </w:pPr>
      <w:r>
        <w:t>Beratung ITIL-Prozessmodelle: Service Strategy/Design/Operation</w:t>
      </w:r>
    </w:p>
    <w:p>
      <w:pPr>
        <w:pStyle w:val="ListBullet"/>
        <w:ind w:left="360"/>
      </w:pPr>
      <w:r>
        <w:t>Umsetzung Incident/Risiko/Change/Demand/Release Management</w:t>
      </w:r>
    </w:p>
    <w:p>
      <w:pPr>
        <w:pStyle w:val="ListBullet"/>
        <w:ind w:left="360"/>
      </w:pPr>
      <w:r>
        <w:t>Aufbau SLA/OLA-Strukturen Service Level Management</w:t>
      </w:r>
    </w:p>
    <w:p>
      <w:pPr>
        <w:pStyle w:val="ListBullet"/>
        <w:ind w:left="360"/>
      </w:pPr>
      <w:r>
        <w:t>Organisation/Moderation Workshops/Schulungen/Präsentationen</w:t>
      </w:r>
    </w:p>
    <w:p>
      <w:pPr>
        <w:pStyle w:val="ListBullet"/>
        <w:ind w:left="360"/>
      </w:pPr>
      <w:r>
        <w:t>Stakeholder-/Erwartungsmanagement Prozessberatung</w:t>
      </w:r>
    </w:p>
    <w:p>
      <w:pPr>
        <w:pStyle w:val="ListBullet"/>
        <w:ind w:left="360"/>
      </w:pPr>
      <w:r>
        <w:t>Einführung standardisierter ITSM-Prozesse</w:t>
      </w:r>
    </w:p>
    <w:p>
      <w:pPr>
        <w:pStyle w:val="ListBullet"/>
        <w:ind w:left="360"/>
      </w:pPr>
      <w:r>
        <w:t>Integration in System-/Toollandschaft</w:t>
      </w:r>
    </w:p>
    <w:p>
      <w:r>
        <w:rPr>
          <w:b/>
          <w:color w:val="2E75B5"/>
          <w:sz w:val="24"/>
        </w:rPr>
        <w:t>Technologien &amp; Tools</w:t>
      </w:r>
    </w:p>
    <w:p>
      <w:r>
        <w:rPr>
          <w:b/>
          <w:color w:val="2E75B5"/>
        </w:rPr>
        <w:t>ITIL • Virtualisierung • ITSM-Tool • SLA/OLA Management • IT-Security Standards</w:t>
      </w:r>
    </w:p>
    <w:p>
      <w:r>
        <w:rPr>
          <w:b/>
          <w:color w:val="2E75B5"/>
          <w:sz w:val="24"/>
        </w:rPr>
        <w:t>Messbare Ergebnisse</w:t>
      </w:r>
    </w:p>
    <w:p>
      <w:pPr>
        <w:pStyle w:val="ListBullet"/>
        <w:ind w:left="360"/>
      </w:pPr>
      <w:r>
        <w:t>Stabile, hochverfügbare Betriebsplattform etabliert</w:t>
      </w:r>
    </w:p>
    <w:p>
      <w:pPr>
        <w:pStyle w:val="ListBullet"/>
        <w:ind w:left="360"/>
      </w:pPr>
      <w:r>
        <w:t>ITSM-Tool erfolgreich eingeführt</w:t>
      </w:r>
    </w:p>
    <w:p>
      <w:pPr>
        <w:pStyle w:val="ListBullet"/>
        <w:ind w:left="360"/>
      </w:pPr>
      <w:r>
        <w:t>SLA/OLA-Strukturen operativ</w:t>
      </w:r>
    </w:p>
    <w:p>
      <w:pPr>
        <w:pStyle w:val="ListBullet"/>
        <w:ind w:left="360"/>
      </w:pPr>
      <w:r>
        <w:t>IT-Sicherheitsstandards implementiert</w:t>
      </w:r>
    </w:p>
    <w:p>
      <w:pPr>
        <w:pStyle w:val="ListBullet"/>
        <w:ind w:left="360"/>
      </w:pPr>
      <w:r>
        <w:t>Hochverfügbarkeit gewährleistet</w:t>
      </w:r>
    </w:p>
    <w:p/>
    <w:p>
      <w:r>
        <w:br w:type="page"/>
      </w:r>
    </w:p>
    <w:p>
      <w:pPr>
        <w:jc w:val="center"/>
      </w:pPr>
      <w:r>
        <w:rPr>
          <w:b/>
          <w:color w:val="1F4E78"/>
          <w:sz w:val="24"/>
        </w:rPr>
        <w:t>Weitere Informationen: www.novartum.de | kontakt@novartum.de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DDC67BE3B972E4FACDE06D405E87C9E" ma:contentTypeVersion="15" ma:contentTypeDescription="Ein neues Dokument erstellen." ma:contentTypeScope="" ma:versionID="4b8b2eeb3265022619488b101e5bb1a9">
  <xsd:schema xmlns:xsd="http://www.w3.org/2001/XMLSchema" xmlns:xs="http://www.w3.org/2001/XMLSchema" xmlns:p="http://schemas.microsoft.com/office/2006/metadata/properties" xmlns:ns2="4c6b7b8d-e832-4712-b649-6e3c15909aa5" xmlns:ns3="5a70b40a-2fd4-4a15-a3f0-2fd7079f4f88" targetNamespace="http://schemas.microsoft.com/office/2006/metadata/properties" ma:root="true" ma:fieldsID="58ca0a62ef03ae660f53aaf3999da5dd" ns2:_="" ns3:_="">
    <xsd:import namespace="4c6b7b8d-e832-4712-b649-6e3c15909aa5"/>
    <xsd:import namespace="5a70b40a-2fd4-4a15-a3f0-2fd7079f4f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b7b8d-e832-4712-b649-6e3c15909a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c8e0b1d7-6e7f-486c-ae12-6b24ee704c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0b40a-2fd4-4a15-a3f0-2fd7079f4f8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0e2caa7-1e46-4c58-90c8-c4b6dcf344bb}" ma:internalName="TaxCatchAll" ma:showField="CatchAllData" ma:web="5a70b40a-2fd4-4a15-a3f0-2fd7079f4f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a70b40a-2fd4-4a15-a3f0-2fd7079f4f88" xsi:nil="true"/>
    <lcf76f155ced4ddcb4097134ff3c332f xmlns="4c6b7b8d-e832-4712-b649-6e3c15909a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C49ACE-7DFA-4D7D-8A4B-0637101B9647}"/>
</file>

<file path=customXml/itemProps3.xml><?xml version="1.0" encoding="utf-8"?>
<ds:datastoreItem xmlns:ds="http://schemas.openxmlformats.org/officeDocument/2006/customXml" ds:itemID="{6EA5DDC0-BE10-4004-B1F1-F07783A2E1A8}"/>
</file>

<file path=customXml/itemProps4.xml><?xml version="1.0" encoding="utf-8"?>
<ds:datastoreItem xmlns:ds="http://schemas.openxmlformats.org/officeDocument/2006/customXml" ds:itemID="{0C43ED8C-B951-4055-A823-9FE542D0B3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0x0101008DDC67BE3B972E4FACDE06D405E87C9E</vt:lpwstr>
  </property>
</Properties>
</file>