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1080"/>
        <w:jc w:val="center"/>
      </w:pPr>
      <w:r>
        <w:rPr>
          <w:b/>
          <w:color w:val="111827"/>
          <w:sz w:val="54"/>
        </w:rPr>
        <w:t>FIRST DEMOLITION</w:t>
      </w:r>
    </w:p>
    <w:p>
      <w:pPr>
        <w:keepNext/>
        <w:jc w:val="center"/>
      </w:pPr>
      <w:r>
        <w:rPr>
          <w:b/>
          <w:color w:val="111827"/>
          <w:sz w:val="60"/>
        </w:rPr>
        <w:t>퍼스트철거</w:t>
      </w:r>
    </w:p>
    <w:p>
      <w:pPr>
        <w:keepNext/>
        <w:spacing w:before="240"/>
        <w:jc w:val="center"/>
      </w:pPr>
      <w:r>
        <w:rPr>
          <w:b/>
          <w:color w:val="1F2937"/>
          <w:sz w:val="40"/>
        </w:rPr>
        <w:t>사업계획서 최종안</w:t>
      </w:r>
    </w:p>
    <w:p>
      <w:pPr>
        <w:jc w:val="center"/>
      </w:pPr>
      <w:r>
        <w:rPr>
          <w:color w:val="4B5563"/>
          <w:sz w:val="22"/>
        </w:rPr>
        <w:t>AI 견적 · 자체 시공 · 검증업체 경쟁입찰 · 현장증빙 표준화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61"/>
        <w:gridCol w:w="5061"/>
      </w:tblGrid>
      <w:tr>
        <w:tc>
          <w:tcPr>
            <w:tcW w:type="dxa" w:w="5061"/>
            <w:shd w:fill="E5E7EB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/>
            <w:r>
              <w:rPr>
                <w:b/>
                <w:sz w:val="20"/>
              </w:rPr>
              <w:t>법인</w:t>
            </w:r>
          </w:p>
        </w:tc>
        <w:tc>
          <w:tcPr>
            <w:tcW w:type="dxa" w:w="5061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/>
            <w:r>
              <w:rPr>
                <w:sz w:val="20"/>
              </w:rPr>
              <w:t>퍼스트바이브</w:t>
            </w:r>
          </w:p>
        </w:tc>
      </w:tr>
      <w:tr>
        <w:tc>
          <w:tcPr>
            <w:tcW w:type="dxa" w:w="5061"/>
            <w:shd w:fill="E5E7EB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/>
            <w:r>
              <w:rPr>
                <w:b/>
                <w:sz w:val="20"/>
              </w:rPr>
              <w:t>브랜드</w:t>
            </w:r>
          </w:p>
        </w:tc>
        <w:tc>
          <w:tcPr>
            <w:tcW w:type="dxa" w:w="5061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/>
            <w:r>
              <w:rPr>
                <w:sz w:val="20"/>
              </w:rPr>
              <w:t>FIRST DEMOLITION / 퍼스트철거</w:t>
            </w:r>
          </w:p>
        </w:tc>
      </w:tr>
      <w:tr>
        <w:tc>
          <w:tcPr>
            <w:tcW w:type="dxa" w:w="5061"/>
            <w:shd w:fill="E5E7EB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/>
            <w:r>
              <w:rPr>
                <w:b/>
                <w:sz w:val="20"/>
              </w:rPr>
              <w:t>대표 도메인</w:t>
            </w:r>
          </w:p>
        </w:tc>
        <w:tc>
          <w:tcPr>
            <w:tcW w:type="dxa" w:w="5061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/>
            <w:r>
              <w:rPr>
                <w:sz w:val="20"/>
              </w:rPr>
              <w:t>firstdemolition.co.kr</w:t>
            </w:r>
          </w:p>
        </w:tc>
      </w:tr>
      <w:tr>
        <w:tc>
          <w:tcPr>
            <w:tcW w:type="dxa" w:w="5061"/>
            <w:shd w:fill="E5E7EB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/>
            <w:r>
              <w:rPr>
                <w:b/>
                <w:sz w:val="20"/>
              </w:rPr>
              <w:t>시연 주소</w:t>
            </w:r>
          </w:p>
        </w:tc>
        <w:tc>
          <w:tcPr>
            <w:tcW w:type="dxa" w:w="5061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/>
            <w:r>
              <w:rPr>
                <w:sz w:val="20"/>
              </w:rPr>
              <w:t>demo.firstdemolition.co.kr</w:t>
            </w:r>
          </w:p>
        </w:tc>
      </w:tr>
      <w:tr>
        <w:tc>
          <w:tcPr>
            <w:tcW w:type="dxa" w:w="5061"/>
            <w:shd w:fill="E5E7EB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/>
            <w:r>
              <w:rPr>
                <w:b/>
                <w:sz w:val="20"/>
              </w:rPr>
              <w:t>기준일</w:t>
            </w:r>
          </w:p>
        </w:tc>
        <w:tc>
          <w:tcPr>
            <w:tcW w:type="dxa" w:w="5061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/>
            <w:r>
              <w:rPr>
                <w:sz w:val="20"/>
              </w:rPr>
              <w:t>2026년 7월</w:t>
            </w:r>
          </w:p>
        </w:tc>
      </w:tr>
    </w:tbl>
    <w:p/>
    <w:p>
      <w:pPr>
        <w:jc w:val="center"/>
      </w:pPr>
      <w:r>
        <w:rPr>
          <w:color w:val="6B7280"/>
          <w:sz w:val="16"/>
        </w:rPr>
        <w:t>본 문서의 재무 수치는 확정 실적이 아닌 경영 가정 기반의 사업성 검토용 추정치입니다.</w:t>
      </w:r>
    </w:p>
    <w:p>
      <w:r>
        <w:br w:type="page"/>
      </w:r>
    </w:p>
    <w:p>
      <w:pPr>
        <w:keepNext/>
        <w:spacing w:before="120" w:after="100"/>
      </w:pPr>
      <w:r>
        <w:rPr>
          <w:b/>
          <w:color w:val="1F2937"/>
          <w:sz w:val="32"/>
        </w:rPr>
        <w:t>1. Executive Summary</w:t>
      </w:r>
    </w:p>
    <w:p>
      <w:pPr>
        <w:spacing w:after="120"/>
      </w:pPr>
      <w:r>
        <w:rPr>
          <w:i/>
          <w:color w:val="5A626C"/>
          <w:sz w:val="18"/>
        </w:rPr>
        <w:t>퍼스트철거가 해결하려는 문제와 12개월 내 달성할 핵심 목표</w:t>
      </w:r>
    </w:p>
    <w:p>
      <w:pPr>
        <w:spacing w:after="100" w:line="276" w:lineRule="auto"/>
      </w:pPr>
      <w:r>
        <w:rPr>
          <w:sz w:val="19"/>
        </w:rPr>
        <w:t>퍼스트철거는 전화·현장방문 중심으로 운영되는 기존 철거시장의 불투명한 견적과 공정관리 문제를 디지털화하는 철거 전문 서비스입니다. 고객은 모바일에서 3분 내 견적을 접수하고, 현장 사진·면적·층수·엘리베이터·폐기물 조건을 기반으로 예상 범위를 확인합니다. 초기에는 자체 시공팀으로 품질과 수익성을 통제하고, 물량이 늘면 검증 협력업체 경쟁입찰을 병행해 확장합니다.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</w:trPr>
        <w:tc>
          <w:tcPr>
            <w:tcW w:type="dxa" w:w="2160"/>
            <w:shd w:fill="1F293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핵심 항목</w:t>
            </w:r>
          </w:p>
        </w:tc>
        <w:tc>
          <w:tcPr>
            <w:tcW w:type="dxa" w:w="8208"/>
            <w:shd w:fill="1F293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최종 방향</w:t>
            </w:r>
          </w:p>
        </w:tc>
      </w:tr>
      <w:tr>
        <w:tc>
          <w:tcPr>
            <w:tcW w:type="dxa" w:w="21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sz w:val="17"/>
              </w:rPr>
              <w:t>사업모델</w:t>
            </w:r>
          </w:p>
        </w:tc>
        <w:tc>
          <w:tcPr>
            <w:tcW w:type="dxa" w:w="820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직접 시공 + 검증 협력업체 플랫폼의 하이브리드 모델</w:t>
            </w:r>
          </w:p>
        </w:tc>
      </w:tr>
      <w:tr>
        <w:tc>
          <w:tcPr>
            <w:tcW w:type="dxa" w:w="21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sz w:val="17"/>
              </w:rPr>
              <w:t>초기 권역</w:t>
            </w:r>
          </w:p>
        </w:tc>
        <w:tc>
          <w:tcPr>
            <w:tcW w:type="dxa" w:w="820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서울·경기</w:t>
            </w:r>
          </w:p>
        </w:tc>
      </w:tr>
      <w:tr>
        <w:tc>
          <w:tcPr>
            <w:tcW w:type="dxa" w:w="21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sz w:val="17"/>
              </w:rPr>
              <w:t>핵심 고객</w:t>
            </w:r>
          </w:p>
        </w:tc>
        <w:tc>
          <w:tcPr>
            <w:tcW w:type="dxa" w:w="820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상가·사무실·학원·병원·주택·공장·창고 철거 수요자</w:t>
            </w:r>
          </w:p>
        </w:tc>
      </w:tr>
      <w:tr>
        <w:tc>
          <w:tcPr>
            <w:tcW w:type="dxa" w:w="21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sz w:val="17"/>
              </w:rPr>
              <w:t>고객가치</w:t>
            </w:r>
          </w:p>
        </w:tc>
        <w:tc>
          <w:tcPr>
            <w:tcW w:type="dxa" w:w="820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빠른 견적, 비용 투명성, 공정·폐기물 증빙, 책임 있는 사후관리</w:t>
            </w:r>
          </w:p>
        </w:tc>
      </w:tr>
      <w:tr>
        <w:tc>
          <w:tcPr>
            <w:tcW w:type="dxa" w:w="21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sz w:val="17"/>
              </w:rPr>
              <w:t>광고기준</w:t>
            </w:r>
          </w:p>
        </w:tc>
        <w:tc>
          <w:tcPr>
            <w:tcW w:type="dxa" w:w="820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메타 광고 일 500,000원, 월 약 15,000,000원</w:t>
            </w:r>
          </w:p>
        </w:tc>
      </w:tr>
      <w:tr>
        <w:tc>
          <w:tcPr>
            <w:tcW w:type="dxa" w:w="21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sz w:val="17"/>
              </w:rPr>
              <w:t>12개월 목표</w:t>
            </w:r>
          </w:p>
        </w:tc>
        <w:tc>
          <w:tcPr>
            <w:tcW w:type="dxa" w:w="820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표준 운영체계 확립, 자체팀 수익성 검증, 권역별 협력업체 네트워크 구축</w:t>
            </w:r>
          </w:p>
        </w:tc>
      </w:tr>
    </w:tbl>
    <w:p>
      <w:pPr>
        <w:spacing w:after="0"/>
      </w:pPr>
    </w:p>
    <w:p>
      <w:pPr>
        <w:keepNext/>
        <w:spacing w:before="120" w:after="100"/>
      </w:pPr>
      <w:r>
        <w:rPr>
          <w:b/>
          <w:color w:val="1F2937"/>
          <w:sz w:val="32"/>
        </w:rPr>
        <w:t>2. 사업 배경 및 시장 문제</w:t>
      </w:r>
    </w:p>
    <w:p>
      <w:pPr>
        <w:pStyle w:val="ListBullet"/>
        <w:spacing w:after="40"/>
        <w:ind w:left="216"/>
      </w:pPr>
      <w:r>
        <w:rPr>
          <w:sz w:val="19"/>
        </w:rPr>
        <w:t>철거 견적은 현장·업체별 산정방식이 달라 고객이 가격의 적정성을 판단하기 어렵습니다.</w:t>
      </w:r>
    </w:p>
    <w:p>
      <w:pPr>
        <w:pStyle w:val="ListBullet"/>
        <w:spacing w:after="40"/>
        <w:ind w:left="216"/>
      </w:pPr>
      <w:r>
        <w:rPr>
          <w:sz w:val="19"/>
        </w:rPr>
        <w:t>전화·문자·개인 메신저 중심 운영으로 사진, 추가공사 승인, 폐기물 증빙이 분산됩니다.</w:t>
      </w:r>
    </w:p>
    <w:p>
      <w:pPr>
        <w:pStyle w:val="ListBullet"/>
        <w:spacing w:after="40"/>
        <w:ind w:left="216"/>
      </w:pPr>
      <w:r>
        <w:rPr>
          <w:sz w:val="19"/>
        </w:rPr>
        <w:t>일정 지연, 추가비용, 민원, 폐기물 처리 문제 발생 시 책임소재가 불명확합니다.</w:t>
      </w:r>
    </w:p>
    <w:p>
      <w:pPr>
        <w:pStyle w:val="ListBullet"/>
        <w:spacing w:after="40"/>
        <w:ind w:left="216"/>
      </w:pPr>
      <w:r>
        <w:rPr>
          <w:sz w:val="19"/>
        </w:rPr>
        <w:t>광고 리드가 계약·시공·정산 데이터와 연결되지 않아 지점·권역·업종별 수익성을 정확히 분석하기 어렵습니다.</w:t>
      </w:r>
    </w:p>
    <w:p>
      <w:pPr>
        <w:spacing w:after="100" w:line="276" w:lineRule="auto"/>
      </w:pPr>
      <w:r>
        <w:rPr>
          <w:sz w:val="19"/>
        </w:rPr>
        <w:t>퍼스트철거는 고객 접수부터 완료 확인까지 동일한 데이터 흐름으로 관리하여 견적·공정·증빙·정산의 표준을 만드는 것을 목표로 합니다.</w:t>
      </w:r>
    </w:p>
    <w:p>
      <w:pPr>
        <w:keepNext/>
        <w:spacing w:before="120" w:after="100"/>
      </w:pPr>
      <w:r>
        <w:rPr>
          <w:b/>
          <w:color w:val="1F2937"/>
          <w:sz w:val="32"/>
        </w:rPr>
        <w:t>3. 서비스 및 수익모델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31"/>
        <w:gridCol w:w="2531"/>
        <w:gridCol w:w="2531"/>
        <w:gridCol w:w="2531"/>
      </w:tblGrid>
      <w:tr>
        <w:trPr>
          <w:tblHeader w:val="true"/>
        </w:trPr>
        <w:tc>
          <w:tcPr>
            <w:tcW w:type="dxa" w:w="1872"/>
            <w:shd w:fill="1F293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서비스</w:t>
            </w:r>
          </w:p>
        </w:tc>
        <w:tc>
          <w:tcPr>
            <w:tcW w:type="dxa" w:w="2448"/>
            <w:shd w:fill="1F293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주요 고객</w:t>
            </w:r>
          </w:p>
        </w:tc>
        <w:tc>
          <w:tcPr>
            <w:tcW w:type="dxa" w:w="3456"/>
            <w:shd w:fill="1F293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견적 핵심 변수</w:t>
            </w:r>
          </w:p>
        </w:tc>
        <w:tc>
          <w:tcPr>
            <w:tcW w:type="dxa" w:w="2592"/>
            <w:shd w:fill="1F293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수익원</w:t>
            </w:r>
          </w:p>
        </w:tc>
      </w:tr>
      <w:tr>
        <w:tc>
          <w:tcPr>
            <w:tcW w:type="dxa" w:w="187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sz w:val="17"/>
              </w:rPr>
              <w:t>상가·사무실 철거</w:t>
            </w:r>
          </w:p>
        </w:tc>
        <w:tc>
          <w:tcPr>
            <w:tcW w:type="dxa" w:w="244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카페·음식점·학원·병원·오피스</w:t>
            </w:r>
          </w:p>
        </w:tc>
        <w:tc>
          <w:tcPr>
            <w:tcW w:type="dxa" w:w="34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면적, 천장·바닥·벽체, 야간작업</w:t>
            </w:r>
          </w:p>
        </w:tc>
        <w:tc>
          <w:tcPr>
            <w:tcW w:type="dxa" w:w="259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철거 공사비, 원상복구, 폐기물</w:t>
            </w:r>
          </w:p>
        </w:tc>
      </w:tr>
      <w:tr>
        <w:tc>
          <w:tcPr>
            <w:tcW w:type="dxa" w:w="187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sz w:val="17"/>
              </w:rPr>
              <w:t>주택·아파트 철거</w:t>
            </w:r>
          </w:p>
        </w:tc>
        <w:tc>
          <w:tcPr>
            <w:tcW w:type="dxa" w:w="244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인테리어 전 철거 수요</w:t>
            </w:r>
          </w:p>
        </w:tc>
        <w:tc>
          <w:tcPr>
            <w:tcW w:type="dxa" w:w="34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층수, 엘리베이터, 소음 제한</w:t>
            </w:r>
          </w:p>
        </w:tc>
        <w:tc>
          <w:tcPr>
            <w:tcW w:type="dxa" w:w="259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부분·전체 철거, 샷시·욕실·주방</w:t>
            </w:r>
          </w:p>
        </w:tc>
      </w:tr>
      <w:tr>
        <w:tc>
          <w:tcPr>
            <w:tcW w:type="dxa" w:w="187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sz w:val="17"/>
              </w:rPr>
              <w:t>공장·창고 철거</w:t>
            </w:r>
          </w:p>
        </w:tc>
        <w:tc>
          <w:tcPr>
            <w:tcW w:type="dxa" w:w="244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산업시설·물류창고</w:t>
            </w:r>
          </w:p>
        </w:tc>
        <w:tc>
          <w:tcPr>
            <w:tcW w:type="dxa" w:w="34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장비, 구조물, 폐기물 종류</w:t>
            </w:r>
          </w:p>
        </w:tc>
        <w:tc>
          <w:tcPr>
            <w:tcW w:type="dxa" w:w="259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장비 반출, 고철 분리, 폐기물</w:t>
            </w:r>
          </w:p>
        </w:tc>
      </w:tr>
      <w:tr>
        <w:tc>
          <w:tcPr>
            <w:tcW w:type="dxa" w:w="187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sz w:val="17"/>
              </w:rPr>
              <w:t>부분·긴급 철거</w:t>
            </w:r>
          </w:p>
        </w:tc>
        <w:tc>
          <w:tcPr>
            <w:tcW w:type="dxa" w:w="244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매장 일부·간판·칸막이</w:t>
            </w:r>
          </w:p>
        </w:tc>
        <w:tc>
          <w:tcPr>
            <w:tcW w:type="dxa" w:w="34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범위, 보양, 영업 병행</w:t>
            </w:r>
          </w:p>
        </w:tc>
        <w:tc>
          <w:tcPr>
            <w:tcW w:type="dxa" w:w="259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긴급·야간 할증, 소규모 공사</w:t>
            </w:r>
          </w:p>
        </w:tc>
      </w:tr>
    </w:tbl>
    <w:p>
      <w:pPr>
        <w:spacing w:after="0"/>
      </w:pPr>
    </w:p>
    <w:p>
      <w:pPr>
        <w:spacing w:after="100" w:line="276" w:lineRule="auto"/>
      </w:pPr>
      <w:r>
        <w:rPr>
          <w:sz w:val="19"/>
        </w:rPr>
        <w:t>수익구조는 ① 자체 시공 매출총이익, ② 협력업체 배정·중개 수수료, ③ 원상복구·폐기물·보양·야간작업 등 부가공정, ④ 장기적으로 기업·프랜차이즈 다점포 철거 관리계약으로 구성합니다.</w:t>
      </w:r>
    </w:p>
    <w:p>
      <w:r>
        <w:br w:type="page"/>
      </w:r>
    </w:p>
    <w:p>
      <w:pPr>
        <w:keepNext/>
        <w:spacing w:before="120" w:after="100"/>
      </w:pPr>
      <w:r>
        <w:rPr>
          <w:b/>
          <w:color w:val="1F2937"/>
          <w:sz w:val="32"/>
        </w:rPr>
        <w:t>4. 고객 여정 및 운영 프로세스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</w:trPr>
        <w:tc>
          <w:tcPr>
            <w:tcW w:type="dxa" w:w="1872"/>
            <w:shd w:fill="1F293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단계</w:t>
            </w:r>
          </w:p>
        </w:tc>
        <w:tc>
          <w:tcPr>
            <w:tcW w:type="dxa" w:w="4176"/>
            <w:shd w:fill="1F293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고객 경험</w:t>
            </w:r>
          </w:p>
        </w:tc>
        <w:tc>
          <w:tcPr>
            <w:tcW w:type="dxa" w:w="4320"/>
            <w:shd w:fill="1F293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내부 운영 기준</w:t>
            </w:r>
          </w:p>
        </w:tc>
      </w:tr>
      <w:tr>
        <w:tc>
          <w:tcPr>
            <w:tcW w:type="dxa" w:w="187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sz w:val="17"/>
              </w:rPr>
              <w:t>1. 간편 접수</w:t>
            </w:r>
          </w:p>
        </w:tc>
        <w:tc>
          <w:tcPr>
            <w:tcW w:type="dxa" w:w="417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주소·공간유형·면적·사진 5~10장 등록</w:t>
            </w:r>
          </w:p>
        </w:tc>
        <w:tc>
          <w:tcPr>
            <w:tcW w:type="dxa" w:w="432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광고소스·UTM·동의정보 자동 저장</w:t>
            </w:r>
          </w:p>
        </w:tc>
      </w:tr>
      <w:tr>
        <w:tc>
          <w:tcPr>
            <w:tcW w:type="dxa" w:w="187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sz w:val="17"/>
              </w:rPr>
              <w:t>2. 예상 견적</w:t>
            </w:r>
          </w:p>
        </w:tc>
        <w:tc>
          <w:tcPr>
            <w:tcW w:type="dxa" w:w="417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조건에 따른 예상 범위 확인</w:t>
            </w:r>
          </w:p>
        </w:tc>
        <w:tc>
          <w:tcPr>
            <w:tcW w:type="dxa" w:w="432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단가표·가중치 기반 자동 계산</w:t>
            </w:r>
          </w:p>
        </w:tc>
      </w:tr>
      <w:tr>
        <w:tc>
          <w:tcPr>
            <w:tcW w:type="dxa" w:w="187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sz w:val="17"/>
              </w:rPr>
              <w:t>3. 현장 확인</w:t>
            </w:r>
          </w:p>
        </w:tc>
        <w:tc>
          <w:tcPr>
            <w:tcW w:type="dxa" w:w="417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방문 일정 선택</w:t>
            </w:r>
          </w:p>
        </w:tc>
        <w:tc>
          <w:tcPr>
            <w:tcW w:type="dxa" w:w="432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관리자 또는 시공팀 자동 배정</w:t>
            </w:r>
          </w:p>
        </w:tc>
      </w:tr>
      <w:tr>
        <w:tc>
          <w:tcPr>
            <w:tcW w:type="dxa" w:w="187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sz w:val="17"/>
              </w:rPr>
              <w:t>4. 최종 견적·계약</w:t>
            </w:r>
          </w:p>
        </w:tc>
        <w:tc>
          <w:tcPr>
            <w:tcW w:type="dxa" w:w="417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공정·기간·폐기물비 확정</w:t>
            </w:r>
          </w:p>
        </w:tc>
        <w:tc>
          <w:tcPr>
            <w:tcW w:type="dxa" w:w="432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추가공정 승인 규칙 포함</w:t>
            </w:r>
          </w:p>
        </w:tc>
      </w:tr>
      <w:tr>
        <w:tc>
          <w:tcPr>
            <w:tcW w:type="dxa" w:w="187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sz w:val="17"/>
              </w:rPr>
              <w:t>5. 철거 시공</w:t>
            </w:r>
          </w:p>
        </w:tc>
        <w:tc>
          <w:tcPr>
            <w:tcW w:type="dxa" w:w="417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진행상태 확인</w:t>
            </w:r>
          </w:p>
        </w:tc>
        <w:tc>
          <w:tcPr>
            <w:tcW w:type="dxa" w:w="432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공사 전·중·후 사진 의무 업로드</w:t>
            </w:r>
          </w:p>
        </w:tc>
      </w:tr>
      <w:tr>
        <w:tc>
          <w:tcPr>
            <w:tcW w:type="dxa" w:w="187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sz w:val="17"/>
              </w:rPr>
              <w:t>6. 완료·정산</w:t>
            </w:r>
          </w:p>
        </w:tc>
        <w:tc>
          <w:tcPr>
            <w:tcW w:type="dxa" w:w="417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완료 확인·후기</w:t>
            </w:r>
          </w:p>
        </w:tc>
        <w:tc>
          <w:tcPr>
            <w:tcW w:type="dxa" w:w="432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폐기물 증빙·잔금·업체정산 마감</w:t>
            </w:r>
          </w:p>
        </w:tc>
      </w:tr>
    </w:tbl>
    <w:p>
      <w:pPr>
        <w:spacing w:after="0"/>
      </w:pPr>
    </w:p>
    <w:p>
      <w:pPr>
        <w:keepNext/>
        <w:spacing w:before="120" w:after="100"/>
      </w:pPr>
      <w:r>
        <w:rPr>
          <w:b/>
          <w:color w:val="1F2937"/>
          <w:sz w:val="32"/>
        </w:rPr>
        <w:t>5. 차별화 전략</w:t>
      </w:r>
    </w:p>
    <w:p>
      <w:pPr>
        <w:pStyle w:val="ListBullet"/>
        <w:spacing w:after="40"/>
        <w:ind w:left="216"/>
      </w:pPr>
      <w:r>
        <w:rPr>
          <w:sz w:val="19"/>
        </w:rPr>
        <w:t>가격 투명성: 입력조건별 예상 견적 범위와 최종 견적 변경 이력을 관리합니다.</w:t>
      </w:r>
    </w:p>
    <w:p>
      <w:pPr>
        <w:pStyle w:val="ListBullet"/>
        <w:spacing w:after="40"/>
        <w:ind w:left="216"/>
      </w:pPr>
      <w:r>
        <w:rPr>
          <w:sz w:val="19"/>
        </w:rPr>
        <w:t>품질 통제: 초기에는 자체 시공팀을 중심으로 표준 공정과 체크리스트를 정착시킵니다.</w:t>
      </w:r>
    </w:p>
    <w:p>
      <w:pPr>
        <w:pStyle w:val="ListBullet"/>
        <w:spacing w:after="40"/>
        <w:ind w:left="216"/>
      </w:pPr>
      <w:r>
        <w:rPr>
          <w:sz w:val="19"/>
        </w:rPr>
        <w:t>증빙 표준화: 공사 전·중·후 사진, 추가공사 승인, 폐기물 반출내역을 현장 단위로 보관합니다.</w:t>
      </w:r>
    </w:p>
    <w:p>
      <w:pPr>
        <w:pStyle w:val="ListBullet"/>
        <w:spacing w:after="40"/>
        <w:ind w:left="216"/>
      </w:pPr>
      <w:r>
        <w:rPr>
          <w:sz w:val="19"/>
        </w:rPr>
        <w:t>확장성: 관리자 승인 업체만 경쟁입찰에 참여하도록 하여 품질을 유지하면서 처리 물량을 늘립니다.</w:t>
      </w:r>
    </w:p>
    <w:p>
      <w:pPr>
        <w:pStyle w:val="ListBullet"/>
        <w:spacing w:after="40"/>
        <w:ind w:left="216"/>
      </w:pPr>
      <w:r>
        <w:rPr>
          <w:sz w:val="19"/>
        </w:rPr>
        <w:t>데이터 경영: 광고비, CPL, 방문견적, 계약률, 객단가, 매출총이익을 권역·업종별로 분석합니다.</w:t>
      </w:r>
    </w:p>
    <w:p>
      <w:pPr>
        <w:keepNext/>
        <w:spacing w:before="120" w:after="100"/>
      </w:pPr>
      <w:r>
        <w:rPr>
          <w:b/>
          <w:color w:val="1F2937"/>
          <w:sz w:val="32"/>
        </w:rPr>
        <w:t>6. 마케팅 및 영업 실행계획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31"/>
        <w:gridCol w:w="2531"/>
        <w:gridCol w:w="2531"/>
        <w:gridCol w:w="2531"/>
      </w:tblGrid>
      <w:tr>
        <w:trPr>
          <w:tblHeader w:val="true"/>
        </w:trPr>
        <w:tc>
          <w:tcPr>
            <w:tcW w:type="dxa" w:w="2160"/>
            <w:shd w:fill="1F293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2016"/>
            <w:shd w:fill="1F293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월 예산</w:t>
            </w:r>
          </w:p>
        </w:tc>
        <w:tc>
          <w:tcPr>
            <w:tcW w:type="dxa" w:w="2592"/>
            <w:shd w:fill="1F293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목적</w:t>
            </w:r>
          </w:p>
        </w:tc>
        <w:tc>
          <w:tcPr>
            <w:tcW w:type="dxa" w:w="4032"/>
            <w:shd w:fill="1F293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운영 원칙</w:t>
            </w:r>
          </w:p>
        </w:tc>
      </w:tr>
      <w:tr>
        <w:tc>
          <w:tcPr>
            <w:tcW w:type="dxa" w:w="21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sz w:val="17"/>
              </w:rPr>
              <w:t>메타 리드광고</w:t>
            </w:r>
          </w:p>
        </w:tc>
        <w:tc>
          <w:tcPr>
            <w:tcW w:type="dxa" w:w="201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약 15,000,000원</w:t>
            </w:r>
          </w:p>
        </w:tc>
        <w:tc>
          <w:tcPr>
            <w:tcW w:type="dxa" w:w="259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견적 DB 확보</w:t>
            </w:r>
          </w:p>
        </w:tc>
        <w:tc>
          <w:tcPr>
            <w:tcW w:type="dxa" w:w="403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상가·사무실·원상복구·주택 등 분리</w:t>
            </w:r>
          </w:p>
        </w:tc>
      </w:tr>
      <w:tr>
        <w:tc>
          <w:tcPr>
            <w:tcW w:type="dxa" w:w="21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sz w:val="17"/>
              </w:rPr>
              <w:t>리타게팅</w:t>
            </w:r>
          </w:p>
        </w:tc>
        <w:tc>
          <w:tcPr>
            <w:tcW w:type="dxa" w:w="201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총예산 내 배분</w:t>
            </w:r>
          </w:p>
        </w:tc>
        <w:tc>
          <w:tcPr>
            <w:tcW w:type="dxa" w:w="259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미전환 재접촉</w:t>
            </w:r>
          </w:p>
        </w:tc>
        <w:tc>
          <w:tcPr>
            <w:tcW w:type="dxa" w:w="403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방문자·폼 이탈자·영상 시청자 중심</w:t>
            </w:r>
          </w:p>
        </w:tc>
      </w:tr>
      <w:tr>
        <w:tc>
          <w:tcPr>
            <w:tcW w:type="dxa" w:w="21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sz w:val="17"/>
              </w:rPr>
              <w:t>검색광고</w:t>
            </w:r>
          </w:p>
        </w:tc>
        <w:tc>
          <w:tcPr>
            <w:tcW w:type="dxa" w:w="201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성과 확인 후 추가</w:t>
            </w:r>
          </w:p>
        </w:tc>
        <w:tc>
          <w:tcPr>
            <w:tcW w:type="dxa" w:w="259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긴급 수요 포착</w:t>
            </w:r>
          </w:p>
        </w:tc>
        <w:tc>
          <w:tcPr>
            <w:tcW w:type="dxa" w:w="403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철거·원상복구·폐업철거 키워드</w:t>
            </w:r>
          </w:p>
        </w:tc>
      </w:tr>
      <w:tr>
        <w:tc>
          <w:tcPr>
            <w:tcW w:type="dxa" w:w="21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sz w:val="17"/>
              </w:rPr>
              <w:t>제휴영업</w:t>
            </w:r>
          </w:p>
        </w:tc>
        <w:tc>
          <w:tcPr>
            <w:tcW w:type="dxa" w:w="201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변동비 중심</w:t>
            </w:r>
          </w:p>
        </w:tc>
        <w:tc>
          <w:tcPr>
            <w:tcW w:type="dxa" w:w="259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반복 수요 확보</w:t>
            </w:r>
          </w:p>
        </w:tc>
        <w:tc>
          <w:tcPr>
            <w:tcW w:type="dxa" w:w="403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부동산·인테리어·프랜차이즈·자산관리사</w:t>
            </w:r>
          </w:p>
        </w:tc>
      </w:tr>
    </w:tbl>
    <w:p>
      <w:pPr>
        <w:spacing w:after="0"/>
      </w:pPr>
    </w:p>
    <w:p>
      <w:pPr>
        <w:pStyle w:val="ListBullet"/>
        <w:spacing w:after="40"/>
        <w:ind w:left="216"/>
      </w:pPr>
      <w:r>
        <w:rPr>
          <w:sz w:val="19"/>
        </w:rPr>
        <w:t>리드 접수 후 5분 이내 문자·카카오톡·전화 1차 연결</w:t>
      </w:r>
    </w:p>
    <w:p>
      <w:pPr>
        <w:pStyle w:val="ListBullet"/>
        <w:spacing w:after="40"/>
        <w:ind w:left="216"/>
      </w:pPr>
      <w:r>
        <w:rPr>
          <w:sz w:val="19"/>
        </w:rPr>
        <w:t>당일 미연결 리드는 4시간·24시간·3일 자동 재접촉</w:t>
      </w:r>
    </w:p>
    <w:p>
      <w:pPr>
        <w:pStyle w:val="ListBullet"/>
        <w:spacing w:after="40"/>
        <w:ind w:left="216"/>
      </w:pPr>
      <w:r>
        <w:rPr>
          <w:sz w:val="19"/>
        </w:rPr>
        <w:t>현장 방문 후 24시간 이내 최종 견적서 제출</w:t>
      </w:r>
    </w:p>
    <w:p>
      <w:pPr>
        <w:pStyle w:val="ListBullet"/>
        <w:spacing w:after="40"/>
        <w:ind w:left="216"/>
      </w:pPr>
      <w:r>
        <w:rPr>
          <w:sz w:val="19"/>
        </w:rPr>
        <w:t>광고 소재는 전후 사진, 비용 투명성, 빠른 방문견적, 폐기물 증빙을 중심으로 A/B 테스트</w:t>
      </w:r>
    </w:p>
    <w:p>
      <w:pPr>
        <w:pStyle w:val="ListBullet"/>
        <w:spacing w:after="40"/>
        <w:ind w:left="216"/>
      </w:pPr>
      <w:r>
        <w:rPr>
          <w:sz w:val="19"/>
        </w:rPr>
        <w:t>광고 성과는 CPL만 보지 않고 방문전환율·계약률·매출총이익까지 연결해 판단</w:t>
      </w:r>
    </w:p>
    <w:p>
      <w:pPr>
        <w:keepNext/>
        <w:spacing w:before="120" w:after="100"/>
      </w:pPr>
      <w:r>
        <w:rPr>
          <w:b/>
          <w:color w:val="1F2937"/>
          <w:sz w:val="32"/>
        </w:rPr>
        <w:t>7. 조직 및 현장운영 체계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31"/>
        <w:gridCol w:w="2531"/>
        <w:gridCol w:w="2531"/>
        <w:gridCol w:w="2531"/>
      </w:tblGrid>
      <w:tr>
        <w:trPr>
          <w:tblHeader w:val="true"/>
        </w:trPr>
        <w:tc>
          <w:tcPr>
            <w:tcW w:type="dxa" w:w="1944"/>
            <w:shd w:fill="1F293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조직</w:t>
            </w:r>
          </w:p>
        </w:tc>
        <w:tc>
          <w:tcPr>
            <w:tcW w:type="dxa" w:w="1800"/>
            <w:shd w:fill="1F293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초기 구성</w:t>
            </w:r>
          </w:p>
        </w:tc>
        <w:tc>
          <w:tcPr>
            <w:tcW w:type="dxa" w:w="3600"/>
            <w:shd w:fill="1F293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핵심업무</w:t>
            </w:r>
          </w:p>
        </w:tc>
        <w:tc>
          <w:tcPr>
            <w:tcW w:type="dxa" w:w="3456"/>
            <w:shd w:fill="1F293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확장 기준</w:t>
            </w:r>
          </w:p>
        </w:tc>
      </w:tr>
      <w:tr>
        <w:tc>
          <w:tcPr>
            <w:tcW w:type="dxa" w:w="194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sz w:val="17"/>
              </w:rPr>
              <w:t>사업총괄</w:t>
            </w:r>
          </w:p>
        </w:tc>
        <w:tc>
          <w:tcPr>
            <w:tcW w:type="dxa" w:w="18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1명</w:t>
            </w:r>
          </w:p>
        </w:tc>
        <w:tc>
          <w:tcPr>
            <w:tcW w:type="dxa" w:w="36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매출·광고·제휴·품질</w:t>
            </w:r>
          </w:p>
        </w:tc>
        <w:tc>
          <w:tcPr>
            <w:tcW w:type="dxa" w:w="34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월 계약량과 권역 확대</w:t>
            </w:r>
          </w:p>
        </w:tc>
      </w:tr>
      <w:tr>
        <w:tc>
          <w:tcPr>
            <w:tcW w:type="dxa" w:w="194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sz w:val="17"/>
              </w:rPr>
              <w:t>상담·견적</w:t>
            </w:r>
          </w:p>
        </w:tc>
        <w:tc>
          <w:tcPr>
            <w:tcW w:type="dxa" w:w="18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2~3명</w:t>
            </w:r>
          </w:p>
        </w:tc>
        <w:tc>
          <w:tcPr>
            <w:tcW w:type="dxa" w:w="36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리드 대응·현장 배정·계약</w:t>
            </w:r>
          </w:p>
        </w:tc>
        <w:tc>
          <w:tcPr>
            <w:tcW w:type="dxa" w:w="34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일 리드량·응답 SLA</w:t>
            </w:r>
          </w:p>
        </w:tc>
      </w:tr>
      <w:tr>
        <w:tc>
          <w:tcPr>
            <w:tcW w:type="dxa" w:w="194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sz w:val="17"/>
              </w:rPr>
              <w:t>현장관리</w:t>
            </w:r>
          </w:p>
        </w:tc>
        <w:tc>
          <w:tcPr>
            <w:tcW w:type="dxa" w:w="18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1~2명</w:t>
            </w:r>
          </w:p>
        </w:tc>
        <w:tc>
          <w:tcPr>
            <w:tcW w:type="dxa" w:w="36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현장확인·일정·검수·민원</w:t>
            </w:r>
          </w:p>
        </w:tc>
        <w:tc>
          <w:tcPr>
            <w:tcW w:type="dxa" w:w="34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동시 현장 수</w:t>
            </w:r>
          </w:p>
        </w:tc>
      </w:tr>
      <w:tr>
        <w:tc>
          <w:tcPr>
            <w:tcW w:type="dxa" w:w="194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sz w:val="17"/>
              </w:rPr>
              <w:t>자체 시공팀</w:t>
            </w:r>
          </w:p>
        </w:tc>
        <w:tc>
          <w:tcPr>
            <w:tcW w:type="dxa" w:w="18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팀 단위</w:t>
            </w:r>
          </w:p>
        </w:tc>
        <w:tc>
          <w:tcPr>
            <w:tcW w:type="dxa" w:w="36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철거·반출·정리</w:t>
            </w:r>
          </w:p>
        </w:tc>
        <w:tc>
          <w:tcPr>
            <w:tcW w:type="dxa" w:w="34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권역별 팀 증설</w:t>
            </w:r>
          </w:p>
        </w:tc>
      </w:tr>
      <w:tr>
        <w:tc>
          <w:tcPr>
            <w:tcW w:type="dxa" w:w="194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sz w:val="17"/>
              </w:rPr>
              <w:t>개발·데이터</w:t>
            </w:r>
          </w:p>
        </w:tc>
        <w:tc>
          <w:tcPr>
            <w:tcW w:type="dxa" w:w="18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외주+내부 PM</w:t>
            </w:r>
          </w:p>
        </w:tc>
        <w:tc>
          <w:tcPr>
            <w:tcW w:type="dxa" w:w="36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웹·CRM·자동화</w:t>
            </w:r>
          </w:p>
        </w:tc>
        <w:tc>
          <w:tcPr>
            <w:tcW w:type="dxa" w:w="34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운영 안정 후 내재화</w:t>
            </w:r>
          </w:p>
        </w:tc>
      </w:tr>
    </w:tbl>
    <w:p>
      <w:pPr>
        <w:spacing w:after="0"/>
      </w:pPr>
    </w:p>
    <w:p>
      <w:pPr>
        <w:keepNext/>
        <w:spacing w:before="120" w:after="100"/>
      </w:pPr>
      <w:r>
        <w:rPr>
          <w:b/>
          <w:color w:val="1F2937"/>
          <w:sz w:val="32"/>
        </w:rPr>
        <w:t>8. 기술 플랫폼 구축방향</w:t>
      </w:r>
    </w:p>
    <w:p>
      <w:pPr>
        <w:spacing w:after="100" w:line="276" w:lineRule="auto"/>
      </w:pPr>
      <w:r>
        <w:rPr>
          <w:sz w:val="19"/>
        </w:rPr>
        <w:t>운영 시스템은 React 또는 Next.js + Supabase 기반으로 구성하고, 단순 시연용 HTML은 디자인·사용자 흐름 참고용으로만 사용합니다.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 w:val="true"/>
        </w:trPr>
        <w:tc>
          <w:tcPr>
            <w:tcW w:type="dxa" w:w="2160"/>
            <w:shd w:fill="1F293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영역</w:t>
            </w:r>
          </w:p>
        </w:tc>
        <w:tc>
          <w:tcPr>
            <w:tcW w:type="dxa" w:w="8208"/>
            <w:shd w:fill="1F293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필수 기능</w:t>
            </w:r>
          </w:p>
        </w:tc>
      </w:tr>
      <w:tr>
        <w:tc>
          <w:tcPr>
            <w:tcW w:type="dxa" w:w="21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sz w:val="17"/>
              </w:rPr>
              <w:t>고객</w:t>
            </w:r>
          </w:p>
        </w:tc>
        <w:tc>
          <w:tcPr>
            <w:tcW w:type="dxa" w:w="820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모바일 견적접수, 사진업로드, 예상견적, 계약·결제, 진행현황, 완료확인</w:t>
            </w:r>
          </w:p>
        </w:tc>
      </w:tr>
      <w:tr>
        <w:tc>
          <w:tcPr>
            <w:tcW w:type="dxa" w:w="21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sz w:val="17"/>
              </w:rPr>
              <w:t>업체·자체팀</w:t>
            </w:r>
          </w:p>
        </w:tc>
        <w:tc>
          <w:tcPr>
            <w:tcW w:type="dxa" w:w="820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업체서류, 입찰, 배정현장, 체크리스트, 사진·폐기물 증빙, 정산</w:t>
            </w:r>
          </w:p>
        </w:tc>
      </w:tr>
      <w:tr>
        <w:tc>
          <w:tcPr>
            <w:tcW w:type="dxa" w:w="21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sz w:val="17"/>
              </w:rPr>
              <w:t>관리자</w:t>
            </w:r>
          </w:p>
        </w:tc>
        <w:tc>
          <w:tcPr>
            <w:tcW w:type="dxa" w:w="820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리드, 배정, 견적·입찰 승인, 계약·결제, 공정·민원, 정산, 통계</w:t>
            </w:r>
          </w:p>
        </w:tc>
      </w:tr>
      <w:tr>
        <w:tc>
          <w:tcPr>
            <w:tcW w:type="dxa" w:w="21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sz w:val="17"/>
              </w:rPr>
              <w:t>보안</w:t>
            </w:r>
          </w:p>
        </w:tc>
        <w:tc>
          <w:tcPr>
            <w:tcW w:type="dxa" w:w="820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RLS, 비공개 Storage, 서명 URL, 관리자 권한분리, 감사로그</w:t>
            </w:r>
          </w:p>
        </w:tc>
      </w:tr>
      <w:tr>
        <w:tc>
          <w:tcPr>
            <w:tcW w:type="dxa" w:w="21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sz w:val="17"/>
              </w:rPr>
              <w:t>데이터</w:t>
            </w:r>
          </w:p>
        </w:tc>
        <w:tc>
          <w:tcPr>
            <w:tcW w:type="dxa" w:w="820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광고소스, 리드, 견적, 계약, 매출, CPL, 전환율, 매출총이익</w:t>
            </w:r>
          </w:p>
        </w:tc>
      </w:tr>
    </w:tbl>
    <w:p>
      <w:pPr>
        <w:spacing w:after="0"/>
      </w:pPr>
    </w:p>
    <w:p>
      <w:pPr>
        <w:keepNext/>
        <w:spacing w:before="120" w:after="100"/>
      </w:pPr>
      <w:r>
        <w:rPr>
          <w:b/>
          <w:color w:val="1F2937"/>
          <w:sz w:val="32"/>
        </w:rPr>
        <w:t>9. 재무 시뮬레이션</w:t>
      </w:r>
    </w:p>
    <w:p>
      <w:pPr>
        <w:spacing w:after="120"/>
      </w:pPr>
      <w:r>
        <w:rPr>
          <w:i/>
          <w:color w:val="5A626C"/>
          <w:sz w:val="18"/>
        </w:rPr>
        <w:t>아래 수치는 사업성 검토를 위한 경영 가정이며 실제 성과를 보장하지 않습니다.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31"/>
        <w:gridCol w:w="2531"/>
        <w:gridCol w:w="2531"/>
        <w:gridCol w:w="2531"/>
      </w:tblGrid>
      <w:tr>
        <w:trPr>
          <w:tblHeader w:val="true"/>
        </w:trPr>
        <w:tc>
          <w:tcPr>
            <w:tcW w:type="dxa" w:w="3600"/>
            <w:shd w:fill="1F293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2160"/>
            <w:shd w:fill="1F293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보수</w:t>
            </w:r>
          </w:p>
        </w:tc>
        <w:tc>
          <w:tcPr>
            <w:tcW w:type="dxa" w:w="2160"/>
            <w:shd w:fill="1F293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기준</w:t>
            </w:r>
          </w:p>
        </w:tc>
        <w:tc>
          <w:tcPr>
            <w:tcW w:type="dxa" w:w="2160"/>
            <w:shd w:fill="1F293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공격</w:t>
            </w:r>
          </w:p>
        </w:tc>
      </w:tr>
      <w:tr>
        <w:tc>
          <w:tcPr>
            <w:tcW w:type="dxa" w:w="36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sz w:val="16"/>
              </w:rPr>
              <w:t>월 광고비</w:t>
            </w:r>
          </w:p>
        </w:tc>
        <w:tc>
          <w:tcPr>
            <w:tcW w:type="dxa" w:w="21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6"/>
              </w:rPr>
              <w:t>1,500만원</w:t>
            </w:r>
          </w:p>
        </w:tc>
        <w:tc>
          <w:tcPr>
            <w:tcW w:type="dxa" w:w="21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6"/>
              </w:rPr>
              <w:t>1,500만원</w:t>
            </w:r>
          </w:p>
        </w:tc>
        <w:tc>
          <w:tcPr>
            <w:tcW w:type="dxa" w:w="21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6"/>
              </w:rPr>
              <w:t>1,500만원</w:t>
            </w:r>
          </w:p>
        </w:tc>
      </w:tr>
      <w:tr>
        <w:tc>
          <w:tcPr>
            <w:tcW w:type="dxa" w:w="36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sz w:val="16"/>
              </w:rPr>
              <w:t>가정 CPL</w:t>
            </w:r>
          </w:p>
        </w:tc>
        <w:tc>
          <w:tcPr>
            <w:tcW w:type="dxa" w:w="21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6"/>
              </w:rPr>
              <w:t>3만원</w:t>
            </w:r>
          </w:p>
        </w:tc>
        <w:tc>
          <w:tcPr>
            <w:tcW w:type="dxa" w:w="21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6"/>
              </w:rPr>
              <w:t>2만원</w:t>
            </w:r>
          </w:p>
        </w:tc>
        <w:tc>
          <w:tcPr>
            <w:tcW w:type="dxa" w:w="21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6"/>
              </w:rPr>
              <w:t>1.5만원</w:t>
            </w:r>
          </w:p>
        </w:tc>
      </w:tr>
      <w:tr>
        <w:tc>
          <w:tcPr>
            <w:tcW w:type="dxa" w:w="36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sz w:val="16"/>
              </w:rPr>
              <w:t>월 리드수</w:t>
            </w:r>
          </w:p>
        </w:tc>
        <w:tc>
          <w:tcPr>
            <w:tcW w:type="dxa" w:w="21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6"/>
              </w:rPr>
              <w:t>500건</w:t>
            </w:r>
          </w:p>
        </w:tc>
        <w:tc>
          <w:tcPr>
            <w:tcW w:type="dxa" w:w="21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6"/>
              </w:rPr>
              <w:t>750건</w:t>
            </w:r>
          </w:p>
        </w:tc>
        <w:tc>
          <w:tcPr>
            <w:tcW w:type="dxa" w:w="21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6"/>
              </w:rPr>
              <w:t>1,000건</w:t>
            </w:r>
          </w:p>
        </w:tc>
      </w:tr>
      <w:tr>
        <w:tc>
          <w:tcPr>
            <w:tcW w:type="dxa" w:w="36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sz w:val="16"/>
              </w:rPr>
              <w:t>계약전환율</w:t>
            </w:r>
          </w:p>
        </w:tc>
        <w:tc>
          <w:tcPr>
            <w:tcW w:type="dxa" w:w="21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6"/>
              </w:rPr>
              <w:t>8%</w:t>
            </w:r>
          </w:p>
        </w:tc>
        <w:tc>
          <w:tcPr>
            <w:tcW w:type="dxa" w:w="21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6"/>
              </w:rPr>
              <w:t>12%</w:t>
            </w:r>
          </w:p>
        </w:tc>
        <w:tc>
          <w:tcPr>
            <w:tcW w:type="dxa" w:w="21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6"/>
              </w:rPr>
              <w:t>15%</w:t>
            </w:r>
          </w:p>
        </w:tc>
      </w:tr>
      <w:tr>
        <w:tc>
          <w:tcPr>
            <w:tcW w:type="dxa" w:w="36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sz w:val="16"/>
              </w:rPr>
              <w:t>월 계약건수</w:t>
            </w:r>
          </w:p>
        </w:tc>
        <w:tc>
          <w:tcPr>
            <w:tcW w:type="dxa" w:w="21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6"/>
              </w:rPr>
              <w:t>40건</w:t>
            </w:r>
          </w:p>
        </w:tc>
        <w:tc>
          <w:tcPr>
            <w:tcW w:type="dxa" w:w="21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6"/>
              </w:rPr>
              <w:t>90건</w:t>
            </w:r>
          </w:p>
        </w:tc>
        <w:tc>
          <w:tcPr>
            <w:tcW w:type="dxa" w:w="21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6"/>
              </w:rPr>
              <w:t>150건</w:t>
            </w:r>
          </w:p>
        </w:tc>
      </w:tr>
      <w:tr>
        <w:tc>
          <w:tcPr>
            <w:tcW w:type="dxa" w:w="36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sz w:val="16"/>
              </w:rPr>
              <w:t>평균 객단가</w:t>
            </w:r>
          </w:p>
        </w:tc>
        <w:tc>
          <w:tcPr>
            <w:tcW w:type="dxa" w:w="21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6"/>
              </w:rPr>
              <w:t>350만원</w:t>
            </w:r>
          </w:p>
        </w:tc>
        <w:tc>
          <w:tcPr>
            <w:tcW w:type="dxa" w:w="21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6"/>
              </w:rPr>
              <w:t>450만원</w:t>
            </w:r>
          </w:p>
        </w:tc>
        <w:tc>
          <w:tcPr>
            <w:tcW w:type="dxa" w:w="21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6"/>
              </w:rPr>
              <w:t>600만원</w:t>
            </w:r>
          </w:p>
        </w:tc>
      </w:tr>
      <w:tr>
        <w:tc>
          <w:tcPr>
            <w:tcW w:type="dxa" w:w="36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sz w:val="16"/>
              </w:rPr>
              <w:t>월 매출</w:t>
            </w:r>
          </w:p>
        </w:tc>
        <w:tc>
          <w:tcPr>
            <w:tcW w:type="dxa" w:w="21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6"/>
              </w:rPr>
              <w:t>1.4억원</w:t>
            </w:r>
          </w:p>
        </w:tc>
        <w:tc>
          <w:tcPr>
            <w:tcW w:type="dxa" w:w="21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6"/>
              </w:rPr>
              <w:t>4.05억원</w:t>
            </w:r>
          </w:p>
        </w:tc>
        <w:tc>
          <w:tcPr>
            <w:tcW w:type="dxa" w:w="21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6"/>
              </w:rPr>
              <w:t>9.0억원</w:t>
            </w:r>
          </w:p>
        </w:tc>
      </w:tr>
      <w:tr>
        <w:tc>
          <w:tcPr>
            <w:tcW w:type="dxa" w:w="36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sz w:val="16"/>
              </w:rPr>
              <w:t>매출총이익률</w:t>
            </w:r>
          </w:p>
        </w:tc>
        <w:tc>
          <w:tcPr>
            <w:tcW w:type="dxa" w:w="21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6"/>
              </w:rPr>
              <w:t>18%</w:t>
            </w:r>
          </w:p>
        </w:tc>
        <w:tc>
          <w:tcPr>
            <w:tcW w:type="dxa" w:w="21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6"/>
              </w:rPr>
              <w:t>23%</w:t>
            </w:r>
          </w:p>
        </w:tc>
        <w:tc>
          <w:tcPr>
            <w:tcW w:type="dxa" w:w="21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6"/>
              </w:rPr>
              <w:t>27%</w:t>
            </w:r>
          </w:p>
        </w:tc>
      </w:tr>
      <w:tr>
        <w:tc>
          <w:tcPr>
            <w:tcW w:type="dxa" w:w="36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sz w:val="16"/>
              </w:rPr>
              <w:t>월 매출총이익</w:t>
            </w:r>
          </w:p>
        </w:tc>
        <w:tc>
          <w:tcPr>
            <w:tcW w:type="dxa" w:w="21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6"/>
              </w:rPr>
              <w:t>2,520만원</w:t>
            </w:r>
          </w:p>
        </w:tc>
        <w:tc>
          <w:tcPr>
            <w:tcW w:type="dxa" w:w="21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6"/>
              </w:rPr>
              <w:t>9,315만원</w:t>
            </w:r>
          </w:p>
        </w:tc>
        <w:tc>
          <w:tcPr>
            <w:tcW w:type="dxa" w:w="21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6"/>
              </w:rPr>
              <w:t>2억4,300만원</w:t>
            </w:r>
          </w:p>
        </w:tc>
      </w:tr>
      <w:tr>
        <w:tc>
          <w:tcPr>
            <w:tcW w:type="dxa" w:w="36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sz w:val="16"/>
              </w:rPr>
              <w:t>광고비 차감 후 기여이익</w:t>
            </w:r>
          </w:p>
        </w:tc>
        <w:tc>
          <w:tcPr>
            <w:tcW w:type="dxa" w:w="21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6"/>
              </w:rPr>
              <w:t>1,020만원</w:t>
            </w:r>
          </w:p>
        </w:tc>
        <w:tc>
          <w:tcPr>
            <w:tcW w:type="dxa" w:w="21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6"/>
              </w:rPr>
              <w:t>7,815만원</w:t>
            </w:r>
          </w:p>
        </w:tc>
        <w:tc>
          <w:tcPr>
            <w:tcW w:type="dxa" w:w="21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6"/>
              </w:rPr>
              <w:t>2억2,800만원</w:t>
            </w:r>
          </w:p>
        </w:tc>
      </w:tr>
    </w:tbl>
    <w:p>
      <w:pPr>
        <w:spacing w:after="0"/>
      </w:pPr>
    </w:p>
    <w:p>
      <w:pPr>
        <w:spacing w:after="100" w:line="276" w:lineRule="auto"/>
      </w:pPr>
      <w:r>
        <w:rPr>
          <w:sz w:val="19"/>
        </w:rPr>
        <w:t>손익분기점은 고정비 규모와 자체팀·협력업체 비중에 따라 달라집니다. 기준 시나리오에서는 광고비를 제외한 고정비가 월 7,000만원 수준일 경우 영업손익이 손익분기점에 근접합니다. 초기 8주간은 CPL보다 계약전환율과 실제 매출총이익을 우선 검증해야 합니다.</w:t>
      </w:r>
    </w:p>
    <w:p>
      <w:pPr>
        <w:keepNext/>
        <w:spacing w:before="120" w:after="100"/>
      </w:pPr>
      <w:r>
        <w:rPr>
          <w:b/>
          <w:color w:val="1F2937"/>
          <w:sz w:val="32"/>
        </w:rPr>
        <w:t>10. 핵심 KPI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31"/>
        <w:gridCol w:w="2531"/>
        <w:gridCol w:w="2531"/>
        <w:gridCol w:w="2531"/>
      </w:tblGrid>
      <w:tr>
        <w:trPr>
          <w:tblHeader w:val="true"/>
        </w:trPr>
        <w:tc>
          <w:tcPr>
            <w:tcW w:type="dxa" w:w="1728"/>
            <w:shd w:fill="1F293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단계</w:t>
            </w:r>
          </w:p>
        </w:tc>
        <w:tc>
          <w:tcPr>
            <w:tcW w:type="dxa" w:w="2592"/>
            <w:shd w:fill="1F293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지표</w:t>
            </w:r>
          </w:p>
        </w:tc>
        <w:tc>
          <w:tcPr>
            <w:tcW w:type="dxa" w:w="2880"/>
            <w:shd w:fill="1F293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초기 관리기준</w:t>
            </w:r>
          </w:p>
        </w:tc>
        <w:tc>
          <w:tcPr>
            <w:tcW w:type="dxa" w:w="3600"/>
            <w:shd w:fill="1F293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개선 액션</w:t>
            </w:r>
          </w:p>
        </w:tc>
      </w:tr>
      <w:tr>
        <w:tc>
          <w:tcPr>
            <w:tcW w:type="dxa" w:w="172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sz w:val="17"/>
              </w:rPr>
              <w:t>광고</w:t>
            </w:r>
          </w:p>
        </w:tc>
        <w:tc>
          <w:tcPr>
            <w:tcW w:type="dxa" w:w="259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CPL·CTR·리드 품질</w:t>
            </w:r>
          </w:p>
        </w:tc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소재·권역별 비교</w:t>
            </w:r>
          </w:p>
        </w:tc>
        <w:tc>
          <w:tcPr>
            <w:tcW w:type="dxa" w:w="36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저성과 소재·지역 중단</w:t>
            </w:r>
          </w:p>
        </w:tc>
      </w:tr>
      <w:tr>
        <w:tc>
          <w:tcPr>
            <w:tcW w:type="dxa" w:w="172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sz w:val="17"/>
              </w:rPr>
              <w:t>상담</w:t>
            </w:r>
          </w:p>
        </w:tc>
        <w:tc>
          <w:tcPr>
            <w:tcW w:type="dxa" w:w="259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5분 응답률·연결률</w:t>
            </w:r>
          </w:p>
        </w:tc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당일 100% 접촉</w:t>
            </w:r>
          </w:p>
        </w:tc>
        <w:tc>
          <w:tcPr>
            <w:tcW w:type="dxa" w:w="36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자동 리마인드·콜백</w:t>
            </w:r>
          </w:p>
        </w:tc>
      </w:tr>
      <w:tr>
        <w:tc>
          <w:tcPr>
            <w:tcW w:type="dxa" w:w="172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sz w:val="17"/>
              </w:rPr>
              <w:t>견적</w:t>
            </w:r>
          </w:p>
        </w:tc>
        <w:tc>
          <w:tcPr>
            <w:tcW w:type="dxa" w:w="259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방문전환·제출시간</w:t>
            </w:r>
          </w:p>
        </w:tc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24시간 이내</w:t>
            </w:r>
          </w:p>
        </w:tc>
        <w:tc>
          <w:tcPr>
            <w:tcW w:type="dxa" w:w="36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현장 배정 자동화</w:t>
            </w:r>
          </w:p>
        </w:tc>
      </w:tr>
      <w:tr>
        <w:tc>
          <w:tcPr>
            <w:tcW w:type="dxa" w:w="172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sz w:val="17"/>
              </w:rPr>
              <w:t>계약</w:t>
            </w:r>
          </w:p>
        </w:tc>
        <w:tc>
          <w:tcPr>
            <w:tcW w:type="dxa" w:w="259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계약률·객단가</w:t>
            </w:r>
          </w:p>
        </w:tc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업종·권역별 분석</w:t>
            </w:r>
          </w:p>
        </w:tc>
        <w:tc>
          <w:tcPr>
            <w:tcW w:type="dxa" w:w="36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가격·설명·제안 표준화</w:t>
            </w:r>
          </w:p>
        </w:tc>
      </w:tr>
      <w:tr>
        <w:tc>
          <w:tcPr>
            <w:tcW w:type="dxa" w:w="172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sz w:val="17"/>
              </w:rPr>
              <w:t>시공</w:t>
            </w:r>
          </w:p>
        </w:tc>
        <w:tc>
          <w:tcPr>
            <w:tcW w:type="dxa" w:w="259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완료율·민원율</w:t>
            </w:r>
          </w:p>
        </w:tc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증빙 100%</w:t>
            </w:r>
          </w:p>
        </w:tc>
        <w:tc>
          <w:tcPr>
            <w:tcW w:type="dxa" w:w="36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체크리스트·검수 강화</w:t>
            </w:r>
          </w:p>
        </w:tc>
      </w:tr>
      <w:tr>
        <w:tc>
          <w:tcPr>
            <w:tcW w:type="dxa" w:w="172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sz w:val="17"/>
              </w:rPr>
              <w:t>재무</w:t>
            </w:r>
          </w:p>
        </w:tc>
        <w:tc>
          <w:tcPr>
            <w:tcW w:type="dxa" w:w="259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매출총이익·기여이익</w:t>
            </w:r>
          </w:p>
        </w:tc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현장별 손익</w:t>
            </w:r>
          </w:p>
        </w:tc>
        <w:tc>
          <w:tcPr>
            <w:tcW w:type="dxa" w:w="36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저마진 공정 재가격화</w:t>
            </w:r>
          </w:p>
        </w:tc>
      </w:tr>
    </w:tbl>
    <w:p>
      <w:pPr>
        <w:spacing w:after="0"/>
      </w:pPr>
    </w:p>
    <w:p>
      <w:pPr>
        <w:keepNext/>
        <w:spacing w:before="120" w:after="100"/>
      </w:pPr>
      <w:r>
        <w:rPr>
          <w:b/>
          <w:color w:val="1F2937"/>
          <w:sz w:val="32"/>
        </w:rPr>
        <w:t>11. 12개월 실행 로드맵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</w:trPr>
        <w:tc>
          <w:tcPr>
            <w:tcW w:type="dxa" w:w="1872"/>
            <w:shd w:fill="1F293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기간</w:t>
            </w:r>
          </w:p>
        </w:tc>
        <w:tc>
          <w:tcPr>
            <w:tcW w:type="dxa" w:w="3024"/>
            <w:shd w:fill="1F293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핵심 목표</w:t>
            </w:r>
          </w:p>
        </w:tc>
        <w:tc>
          <w:tcPr>
            <w:tcW w:type="dxa" w:w="5904"/>
            <w:shd w:fill="1F293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주요 실행</w:t>
            </w:r>
          </w:p>
        </w:tc>
      </w:tr>
      <w:tr>
        <w:tc>
          <w:tcPr>
            <w:tcW w:type="dxa" w:w="187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sz w:val="17"/>
              </w:rPr>
              <w:t>0~1개월</w:t>
            </w:r>
          </w:p>
        </w:tc>
        <w:tc>
          <w:tcPr>
            <w:tcW w:type="dxa" w:w="30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MVP 및 운영기준 확정</w:t>
            </w:r>
          </w:p>
        </w:tc>
        <w:tc>
          <w:tcPr>
            <w:tcW w:type="dxa" w:w="59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도메인·계약서·보험·단가표·자체팀·광고계정·CRM 구축</w:t>
            </w:r>
          </w:p>
        </w:tc>
      </w:tr>
      <w:tr>
        <w:tc>
          <w:tcPr>
            <w:tcW w:type="dxa" w:w="187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sz w:val="17"/>
              </w:rPr>
              <w:t>2~3개월</w:t>
            </w:r>
          </w:p>
        </w:tc>
        <w:tc>
          <w:tcPr>
            <w:tcW w:type="dxa" w:w="30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서울·경기 수익성 검증</w:t>
            </w:r>
          </w:p>
        </w:tc>
        <w:tc>
          <w:tcPr>
            <w:tcW w:type="dxa" w:w="59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광고·상담·방문·계약·시공 데이터를 현장별로 연결</w:t>
            </w:r>
          </w:p>
        </w:tc>
      </w:tr>
      <w:tr>
        <w:tc>
          <w:tcPr>
            <w:tcW w:type="dxa" w:w="187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sz w:val="17"/>
              </w:rPr>
              <w:t>4~6개월</w:t>
            </w:r>
          </w:p>
        </w:tc>
        <w:tc>
          <w:tcPr>
            <w:tcW w:type="dxa" w:w="30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표준화 및 협력업체 확대</w:t>
            </w:r>
          </w:p>
        </w:tc>
        <w:tc>
          <w:tcPr>
            <w:tcW w:type="dxa" w:w="59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업체 심사·입찰·품질평가·정산 기준 적용</w:t>
            </w:r>
          </w:p>
        </w:tc>
      </w:tr>
      <w:tr>
        <w:tc>
          <w:tcPr>
            <w:tcW w:type="dxa" w:w="187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sz w:val="17"/>
              </w:rPr>
              <w:t>7~9개월</w:t>
            </w:r>
          </w:p>
        </w:tc>
        <w:tc>
          <w:tcPr>
            <w:tcW w:type="dxa" w:w="30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권역 확대</w:t>
            </w:r>
          </w:p>
        </w:tc>
        <w:tc>
          <w:tcPr>
            <w:tcW w:type="dxa" w:w="59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경기 주요도시·기업 제휴·반복고객 확보</w:t>
            </w:r>
          </w:p>
        </w:tc>
      </w:tr>
      <w:tr>
        <w:tc>
          <w:tcPr>
            <w:tcW w:type="dxa" w:w="187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sz w:val="17"/>
              </w:rPr>
              <w:t>10~12개월</w:t>
            </w:r>
          </w:p>
        </w:tc>
        <w:tc>
          <w:tcPr>
            <w:tcW w:type="dxa" w:w="30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플랫폼화</w:t>
            </w:r>
          </w:p>
        </w:tc>
        <w:tc>
          <w:tcPr>
            <w:tcW w:type="dxa" w:w="59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자동견적 고도화·대시보드·기업계약·권역별 손익관리</w:t>
            </w:r>
          </w:p>
        </w:tc>
      </w:tr>
    </w:tbl>
    <w:p>
      <w:pPr>
        <w:spacing w:after="0"/>
      </w:pPr>
    </w:p>
    <w:p>
      <w:pPr>
        <w:keepNext/>
        <w:spacing w:before="120" w:after="100"/>
      </w:pPr>
      <w:r>
        <w:rPr>
          <w:b/>
          <w:color w:val="1F2937"/>
          <w:sz w:val="32"/>
        </w:rPr>
        <w:t>12. 주요 리스크 및 대응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</w:trPr>
        <w:tc>
          <w:tcPr>
            <w:tcW w:type="dxa" w:w="2088"/>
            <w:shd w:fill="1F293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리스크</w:t>
            </w:r>
          </w:p>
        </w:tc>
        <w:tc>
          <w:tcPr>
            <w:tcW w:type="dxa" w:w="2232"/>
            <w:shd w:fill="1F293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영향</w:t>
            </w:r>
          </w:p>
        </w:tc>
        <w:tc>
          <w:tcPr>
            <w:tcW w:type="dxa" w:w="6480"/>
            <w:shd w:fill="1F293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대응방안</w:t>
            </w:r>
          </w:p>
        </w:tc>
      </w:tr>
      <w:tr>
        <w:tc>
          <w:tcPr>
            <w:tcW w:type="dxa" w:w="208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sz w:val="17"/>
              </w:rPr>
              <w:t>견적 오차</w:t>
            </w:r>
          </w:p>
        </w:tc>
        <w:tc>
          <w:tcPr>
            <w:tcW w:type="dxa" w:w="223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마진 하락·분쟁</w:t>
            </w:r>
          </w:p>
        </w:tc>
        <w:tc>
          <w:tcPr>
            <w:tcW w:type="dxa" w:w="64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예상견적은 범위로 제시, 현장확인 후 확정, 추가공정 사전승인</w:t>
            </w:r>
          </w:p>
        </w:tc>
      </w:tr>
      <w:tr>
        <w:tc>
          <w:tcPr>
            <w:tcW w:type="dxa" w:w="208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sz w:val="17"/>
              </w:rPr>
              <w:t>안전사고</w:t>
            </w:r>
          </w:p>
        </w:tc>
        <w:tc>
          <w:tcPr>
            <w:tcW w:type="dxa" w:w="223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인명·법적 책임</w:t>
            </w:r>
          </w:p>
        </w:tc>
        <w:tc>
          <w:tcPr>
            <w:tcW w:type="dxa" w:w="64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작업 전 위험성 확인, 보험, 안전장비, 차단·보양 체크리스트</w:t>
            </w:r>
          </w:p>
        </w:tc>
      </w:tr>
      <w:tr>
        <w:tc>
          <w:tcPr>
            <w:tcW w:type="dxa" w:w="208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sz w:val="17"/>
              </w:rPr>
              <w:t>폐기물 처리</w:t>
            </w:r>
          </w:p>
        </w:tc>
        <w:tc>
          <w:tcPr>
            <w:tcW w:type="dxa" w:w="223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민원·행정 리스크</w:t>
            </w:r>
          </w:p>
        </w:tc>
        <w:tc>
          <w:tcPr>
            <w:tcW w:type="dxa" w:w="64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허가업체 연계, 반출내역·증빙 의무화</w:t>
            </w:r>
          </w:p>
        </w:tc>
      </w:tr>
      <w:tr>
        <w:tc>
          <w:tcPr>
            <w:tcW w:type="dxa" w:w="208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sz w:val="17"/>
              </w:rPr>
              <w:t>업체 품질편차</w:t>
            </w:r>
          </w:p>
        </w:tc>
        <w:tc>
          <w:tcPr>
            <w:tcW w:type="dxa" w:w="223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브랜드 훼손</w:t>
            </w:r>
          </w:p>
        </w:tc>
        <w:tc>
          <w:tcPr>
            <w:tcW w:type="dxa" w:w="64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관리자 승인제, 현장평가, 하자·민원 이력 관리</w:t>
            </w:r>
          </w:p>
        </w:tc>
      </w:tr>
      <w:tr>
        <w:tc>
          <w:tcPr>
            <w:tcW w:type="dxa" w:w="208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sz w:val="17"/>
              </w:rPr>
              <w:t>광고비 급증</w:t>
            </w:r>
          </w:p>
        </w:tc>
        <w:tc>
          <w:tcPr>
            <w:tcW w:type="dxa" w:w="223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수익성 악화</w:t>
            </w:r>
          </w:p>
        </w:tc>
        <w:tc>
          <w:tcPr>
            <w:tcW w:type="dxa" w:w="64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CPL이 아닌 계약·매출총이익 기준으로 증액·중단</w:t>
            </w:r>
          </w:p>
        </w:tc>
      </w:tr>
      <w:tr>
        <w:tc>
          <w:tcPr>
            <w:tcW w:type="dxa" w:w="208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sz w:val="17"/>
              </w:rPr>
              <w:t>개인정보·사진유출</w:t>
            </w:r>
          </w:p>
        </w:tc>
        <w:tc>
          <w:tcPr>
            <w:tcW w:type="dxa" w:w="223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신뢰·법적 리스크</w:t>
            </w:r>
          </w:p>
        </w:tc>
        <w:tc>
          <w:tcPr>
            <w:tcW w:type="dxa" w:w="64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비공개 저장소, 최소수집, 권한통제, 로그관리</w:t>
            </w:r>
          </w:p>
        </w:tc>
      </w:tr>
    </w:tbl>
    <w:p>
      <w:pPr>
        <w:spacing w:after="0"/>
      </w:pPr>
    </w:p>
    <w:p>
      <w:pPr>
        <w:keepNext/>
        <w:spacing w:before="120" w:after="100"/>
      </w:pPr>
      <w:r>
        <w:rPr>
          <w:b/>
          <w:color w:val="1F2937"/>
          <w:sz w:val="32"/>
        </w:rPr>
        <w:t>13. 14일 개시계획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31"/>
        <w:gridCol w:w="2531"/>
        <w:gridCol w:w="2531"/>
        <w:gridCol w:w="2531"/>
      </w:tblGrid>
      <w:tr>
        <w:trPr>
          <w:tblHeader w:val="true"/>
        </w:trPr>
        <w:tc>
          <w:tcPr>
            <w:tcW w:type="dxa" w:w="1728"/>
            <w:shd w:fill="1F293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기간</w:t>
            </w:r>
          </w:p>
        </w:tc>
        <w:tc>
          <w:tcPr>
            <w:tcW w:type="dxa" w:w="3024"/>
            <w:shd w:fill="1F293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사업·행정</w:t>
            </w:r>
          </w:p>
        </w:tc>
        <w:tc>
          <w:tcPr>
            <w:tcW w:type="dxa" w:w="3024"/>
            <w:shd w:fill="1F293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웹·시스템</w:t>
            </w:r>
          </w:p>
        </w:tc>
        <w:tc>
          <w:tcPr>
            <w:tcW w:type="dxa" w:w="3168"/>
            <w:shd w:fill="1F293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광고·영업</w:t>
            </w:r>
          </w:p>
        </w:tc>
      </w:tr>
      <w:tr>
        <w:tc>
          <w:tcPr>
            <w:tcW w:type="dxa" w:w="172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sz w:val="17"/>
              </w:rPr>
              <w:t>D1~D2</w:t>
            </w:r>
          </w:p>
        </w:tc>
        <w:tc>
          <w:tcPr>
            <w:tcW w:type="dxa" w:w="30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업종·보험·계약서 검토</w:t>
            </w:r>
          </w:p>
        </w:tc>
        <w:tc>
          <w:tcPr>
            <w:tcW w:type="dxa" w:w="30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프로토타입 기능 확정</w:t>
            </w:r>
          </w:p>
        </w:tc>
        <w:tc>
          <w:tcPr>
            <w:tcW w:type="dxa" w:w="31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광고계정·픽셀·리드폼</w:t>
            </w:r>
          </w:p>
        </w:tc>
      </w:tr>
      <w:tr>
        <w:tc>
          <w:tcPr>
            <w:tcW w:type="dxa" w:w="172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sz w:val="17"/>
              </w:rPr>
              <w:t>D3~D5</w:t>
            </w:r>
          </w:p>
        </w:tc>
        <w:tc>
          <w:tcPr>
            <w:tcW w:type="dxa" w:w="30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자체팀 역할·단가표</w:t>
            </w:r>
          </w:p>
        </w:tc>
        <w:tc>
          <w:tcPr>
            <w:tcW w:type="dxa" w:w="30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DB·회원·사진업로드</w:t>
            </w:r>
          </w:p>
        </w:tc>
        <w:tc>
          <w:tcPr>
            <w:tcW w:type="dxa" w:w="31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소재 10종 제작</w:t>
            </w:r>
          </w:p>
        </w:tc>
      </w:tr>
      <w:tr>
        <w:tc>
          <w:tcPr>
            <w:tcW w:type="dxa" w:w="172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sz w:val="17"/>
              </w:rPr>
              <w:t>D6~D8</w:t>
            </w:r>
          </w:p>
        </w:tc>
        <w:tc>
          <w:tcPr>
            <w:tcW w:type="dxa" w:w="30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협력업체 기준·서류</w:t>
            </w:r>
          </w:p>
        </w:tc>
        <w:tc>
          <w:tcPr>
            <w:tcW w:type="dxa" w:w="30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견적·입찰·관리자 화면</w:t>
            </w:r>
          </w:p>
        </w:tc>
        <w:tc>
          <w:tcPr>
            <w:tcW w:type="dxa" w:w="31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서울 소액 테스트</w:t>
            </w:r>
          </w:p>
        </w:tc>
      </w:tr>
      <w:tr>
        <w:tc>
          <w:tcPr>
            <w:tcW w:type="dxa" w:w="172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sz w:val="17"/>
              </w:rPr>
              <w:t>D9~D11</w:t>
            </w:r>
          </w:p>
        </w:tc>
        <w:tc>
          <w:tcPr>
            <w:tcW w:type="dxa" w:w="30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현장 체크리스트 교육</w:t>
            </w:r>
          </w:p>
        </w:tc>
        <w:tc>
          <w:tcPr>
            <w:tcW w:type="dxa" w:w="30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알림·CRM·통계 연결</w:t>
            </w:r>
          </w:p>
        </w:tc>
        <w:tc>
          <w:tcPr>
            <w:tcW w:type="dxa" w:w="31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성과 소재 선별</w:t>
            </w:r>
          </w:p>
        </w:tc>
      </w:tr>
      <w:tr>
        <w:tc>
          <w:tcPr>
            <w:tcW w:type="dxa" w:w="172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sz w:val="17"/>
              </w:rPr>
              <w:t>D12~D14</w:t>
            </w:r>
          </w:p>
        </w:tc>
        <w:tc>
          <w:tcPr>
            <w:tcW w:type="dxa" w:w="30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운영 리허설·책임자 승인</w:t>
            </w:r>
          </w:p>
        </w:tc>
        <w:tc>
          <w:tcPr>
            <w:tcW w:type="dxa" w:w="30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도메인·SSL·배포</w:t>
            </w:r>
          </w:p>
        </w:tc>
        <w:tc>
          <w:tcPr>
            <w:tcW w:type="dxa" w:w="31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일 50만원 본집행</w:t>
            </w:r>
          </w:p>
        </w:tc>
      </w:tr>
    </w:tbl>
    <w:p>
      <w:pPr>
        <w:spacing w:after="0"/>
      </w:pPr>
    </w:p>
    <w:p>
      <w:pPr>
        <w:keepNext/>
        <w:spacing w:before="120" w:after="100"/>
      </w:pPr>
      <w:r>
        <w:rPr>
          <w:b/>
          <w:color w:val="1F2937"/>
          <w:sz w:val="32"/>
        </w:rPr>
        <w:t>14. 최종 실행 체크리스트</w:t>
      </w:r>
    </w:p>
    <w:p>
      <w:pPr>
        <w:spacing w:after="60"/>
      </w:pPr>
      <w:r>
        <w:rPr>
          <w:sz w:val="19"/>
        </w:rPr>
        <w:t>□ firstdemolition.co.kr 도메인과 DNS 권한을 퍼스트바이브 법인 계정으로 확보</w:t>
      </w:r>
    </w:p>
    <w:p>
      <w:pPr>
        <w:spacing w:after="60"/>
      </w:pPr>
      <w:r>
        <w:rPr>
          <w:sz w:val="19"/>
        </w:rPr>
        <w:t>□ Vercel/Netlify 또는 운영 서버 계정, Supabase 프로젝트를 법인 명의로 생성</w:t>
      </w:r>
    </w:p>
    <w:p>
      <w:pPr>
        <w:spacing w:after="60"/>
      </w:pPr>
      <w:r>
        <w:rPr>
          <w:sz w:val="19"/>
        </w:rPr>
        <w:t>□ 개인정보처리방침·이용약관·견적 동의·마케팅 수신 동의 문구 검토</w:t>
      </w:r>
    </w:p>
    <w:p>
      <w:pPr>
        <w:spacing w:after="60"/>
      </w:pPr>
      <w:r>
        <w:rPr>
          <w:sz w:val="19"/>
        </w:rPr>
        <w:t>□ 현장 계약서·추가공사 승인서·완료확인서·폐기물 증빙 양식 준비</w:t>
      </w:r>
    </w:p>
    <w:p>
      <w:pPr>
        <w:spacing w:after="60"/>
      </w:pPr>
      <w:r>
        <w:rPr>
          <w:sz w:val="19"/>
        </w:rPr>
        <w:t>□ 자체 시공팀 단가표·현장 체크리스트·안전수칙·민원대응 기준 확정</w:t>
      </w:r>
    </w:p>
    <w:p>
      <w:pPr>
        <w:spacing w:after="60"/>
      </w:pPr>
      <w:r>
        <w:rPr>
          <w:sz w:val="19"/>
        </w:rPr>
        <w:t>□ 광고 픽셀·UTM·CRM 필드·콜 추적 연결</w:t>
      </w:r>
    </w:p>
    <w:p>
      <w:pPr>
        <w:spacing w:after="60"/>
      </w:pPr>
      <w:r>
        <w:rPr>
          <w:sz w:val="19"/>
        </w:rPr>
        <w:t>□ 시연용 샘플 고객·현장·업체 데이터 입력</w:t>
      </w:r>
    </w:p>
    <w:p>
      <w:pPr>
        <w:spacing w:after="60"/>
      </w:pPr>
      <w:r>
        <w:rPr>
          <w:sz w:val="19"/>
        </w:rPr>
        <w:t>□ 모바일 실기기 테스트 및 demo.firstdemolition.co.kr 공개</w:t>
      </w:r>
    </w:p>
    <w:p>
      <w:pPr>
        <w:spacing w:after="60"/>
      </w:pPr>
      <w:r>
        <w:rPr>
          <w:sz w:val="19"/>
        </w:rPr>
        <w:t>□ 소스코드·DB·배포계정·도메인·관리자 권한의 법인 소유권 인계</w:t>
      </w:r>
    </w:p>
    <w:p>
      <w:pPr>
        <w:keepNext/>
        <w:spacing w:before="360"/>
        <w:jc w:val="center"/>
      </w:pPr>
      <w:r>
        <w:rPr>
          <w:b/>
          <w:color w:val="1F2937"/>
          <w:sz w:val="28"/>
        </w:rPr>
        <w:t>FIRST DEMOLITION | 신뢰할 수 있는 철거의 표준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35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B7280"/>
        <w:sz w:val="16"/>
      </w:rPr>
      <w:t>퍼스트바이브 법인 사업화 자료 | 2026.07 최종안</w:t>
    </w:r>
    <w:r>
      <w:rPr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b/>
        <w:color w:val="4B5563"/>
        <w:sz w:val="16"/>
      </w:rPr>
      <w:t>FIRST DEMOLITION | 퍼스트철거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Square" w:hAnsi="NanumSquare" w:eastAsia="NanumSquare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anumSquare" w:hAnsi="NanumSquare" w:eastAsia="NanumSquare"/>
      <w:b/>
      <w:bCs/>
      <w:color w:val="1F293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anumSquare" w:hAnsi="NanumSquare" w:eastAsia="NanumSquare"/>
      <w:b/>
      <w:bCs/>
      <w:color w:val="37415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anumSquare" w:hAnsi="NanumSquare" w:eastAsia="NanumSquare"/>
      <w:color w:val="111827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anumSquare" w:hAnsi="NanumSquare" w:eastAsia="NanumSquare"/>
      <w:i/>
      <w:iCs/>
      <w:color w:val="4B5563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anumSquare" w:hAnsi="NanumSquare" w:eastAsia="NanumSquare"/>
      <w:sz w:val="19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퍼스트철거 사업계획서 최종안</dc:title>
  <dc:subject>FIRST DEMOLITION 사업화 최종안</dc:subject>
  <dc:creator>퍼스트바이브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