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A5F"/>
          <w:sz w:val="32"/>
          <w:szCs w:val="32"/>
        </w:rPr>
        <w:t xml:space="preserve">PRODUCT REQUIREMENTS DOCUMENT</w:t>
      </w:r>
    </w:p>
    <w:p>
      <w:pPr>
        <w:spacing w:after="0" w:before="240"/>
        <w:jc w:val="center"/>
      </w:pPr>
      <w:r>
        <w:rPr>
          <w:b/>
          <w:bCs/>
          <w:color w:val="1F3A5F"/>
          <w:sz w:val="72"/>
          <w:szCs w:val="72"/>
        </w:rPr>
        <w:t xml:space="preserve">Helfa</w:t>
      </w:r>
    </w:p>
    <w:p>
      <w:pPr>
        <w:spacing w:after="600" w:before="60"/>
        <w:jc w:val="center"/>
      </w:pPr>
      <w:r>
        <w:rPr>
          <w:i/>
          <w:iCs/>
          <w:color w:val="555555"/>
          <w:sz w:val="24"/>
          <w:szCs w:val="24"/>
        </w:rPr>
        <w:t xml:space="preserve">An immigration &amp; bureaucracy companion for international residents in Germany</w:t>
      </w:r>
    </w:p>
    <w:p>
      <w:pPr>
        <w:pBdr>
          <w:bottom w:val="single" w:color="1F3A5F" w:sz="12" w:space="4"/>
        </w:pBd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Document</w:t>
            </w:r>
          </w:p>
        </w:tc>
        <w:tc>
          <w:tcPr>
            <w:tcW w:type="dxa" w:w="6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Title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Product Requirements Document — Helfa v1.0</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Version</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1.0 (Draft for review)</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Date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April 2026</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Owner</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Philip Olaomo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Status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Draft</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Document type</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Product Requirements Document (PRD)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Related documents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Research Report (April 2026); Use Cases; FRS; NFR; Wireframes; Domain Model; API Spec; Test Plan; Migration Plan</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Audience</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Engineering, Design, Founders, Investors, Future contributors</w:t>
            </w:r>
          </w:p>
        </w:tc>
      </w:tr>
    </w:tbl>
    <w:p>
      <w:r>
        <w:br w:type="page"/>
      </w:r>
    </w:p>
    <w:p>
      <w:pPr>
        <w:pStyle w:val="Heading1"/>
      </w:pPr>
      <w:r>
        <w:t xml:space="preserve">Table of Contents</w:t>
      </w:r>
    </w:p>
    <w:p>
      <w:pPr>
        <w:pBdr>
          <w:bottom w:val="single" w:color="1F3A5F" w:sz="6" w:space="4"/>
        </w:pBdr>
        <w:spacing w:after="200" w:before="80"/>
      </w:pPr>
      <w:r>
        <w:t xml:space="preserve"/>
      </w:r>
    </w:p>
    <w:p>
      <w:pPr>
        <w:tabs>
          <w:tab w:val="right" w:pos="9000"/>
        </w:tabs>
        <w:spacing w:after="60"/>
      </w:pPr>
      <w:r>
        <w:rPr>
          <w:sz w:val="22"/>
          <w:szCs w:val="22"/>
        </w:rPr>
        <w:t xml:space="preserve">1. Executive Summary</w:t>
      </w:r>
    </w:p>
    <w:p>
      <w:pPr>
        <w:tabs>
          <w:tab w:val="right" w:pos="9000"/>
        </w:tabs>
        <w:spacing w:after="60"/>
      </w:pPr>
      <w:r>
        <w:rPr>
          <w:sz w:val="22"/>
          <w:szCs w:val="22"/>
        </w:rPr>
        <w:t xml:space="preserve">2. Vision &amp; Mission</w:t>
      </w:r>
    </w:p>
    <w:p>
      <w:pPr>
        <w:tabs>
          <w:tab w:val="right" w:pos="9000"/>
        </w:tabs>
        <w:spacing w:after="60"/>
      </w:pPr>
      <w:r>
        <w:rPr>
          <w:sz w:val="22"/>
          <w:szCs w:val="22"/>
        </w:rPr>
        <w:t xml:space="preserve">3. Problem Statement</w:t>
      </w:r>
    </w:p>
    <w:p>
      <w:pPr>
        <w:tabs>
          <w:tab w:val="right" w:pos="9000"/>
        </w:tabs>
        <w:spacing w:after="60"/>
      </w:pPr>
      <w:r>
        <w:rPr>
          <w:sz w:val="22"/>
          <w:szCs w:val="22"/>
        </w:rPr>
        <w:t xml:space="preserve">4. Goals, Non-Goals, and Success Metrics</w:t>
      </w:r>
    </w:p>
    <w:p>
      <w:pPr>
        <w:tabs>
          <w:tab w:val="right" w:pos="9000"/>
        </w:tabs>
        <w:spacing w:after="60"/>
      </w:pPr>
      <w:r>
        <w:rPr>
          <w:sz w:val="22"/>
          <w:szCs w:val="22"/>
        </w:rPr>
        <w:t xml:space="preserve">5. Target Users &amp; Personas</w:t>
      </w:r>
    </w:p>
    <w:p>
      <w:pPr>
        <w:tabs>
          <w:tab w:val="right" w:pos="9000"/>
        </w:tabs>
        <w:spacing w:after="60"/>
      </w:pPr>
      <w:r>
        <w:rPr>
          <w:sz w:val="22"/>
          <w:szCs w:val="22"/>
        </w:rPr>
        <w:t xml:space="preserve">6. Scope (MVP, Phase 2, Phase 3)</w:t>
      </w:r>
    </w:p>
    <w:p>
      <w:pPr>
        <w:tabs>
          <w:tab w:val="right" w:pos="9000"/>
        </w:tabs>
        <w:spacing w:after="60"/>
      </w:pPr>
      <w:r>
        <w:rPr>
          <w:sz w:val="22"/>
          <w:szCs w:val="22"/>
        </w:rPr>
        <w:t xml:space="preserve">7. Feature Inventory</w:t>
      </w:r>
    </w:p>
    <w:p>
      <w:pPr>
        <w:tabs>
          <w:tab w:val="right" w:pos="9000"/>
        </w:tabs>
        <w:spacing w:after="60"/>
      </w:pPr>
      <w:r>
        <w:rPr>
          <w:sz w:val="22"/>
          <w:szCs w:val="22"/>
        </w:rPr>
        <w:t xml:space="preserve">8. User Journeys (Summary)</w:t>
      </w:r>
    </w:p>
    <w:p>
      <w:pPr>
        <w:tabs>
          <w:tab w:val="right" w:pos="9000"/>
        </w:tabs>
        <w:spacing w:after="60"/>
      </w:pPr>
      <w:r>
        <w:rPr>
          <w:sz w:val="22"/>
          <w:szCs w:val="22"/>
        </w:rPr>
        <w:t xml:space="preserve">9. Information Architecture</w:t>
      </w:r>
    </w:p>
    <w:p>
      <w:pPr>
        <w:tabs>
          <w:tab w:val="right" w:pos="9000"/>
        </w:tabs>
        <w:spacing w:after="60"/>
      </w:pPr>
      <w:r>
        <w:rPr>
          <w:sz w:val="22"/>
          <w:szCs w:val="22"/>
        </w:rPr>
        <w:t xml:space="preserve">10. Monetization Strategy</w:t>
      </w:r>
    </w:p>
    <w:p>
      <w:pPr>
        <w:tabs>
          <w:tab w:val="right" w:pos="9000"/>
        </w:tabs>
        <w:spacing w:after="60"/>
      </w:pPr>
      <w:r>
        <w:rPr>
          <w:sz w:val="22"/>
          <w:szCs w:val="22"/>
        </w:rPr>
        <w:t xml:space="preserve">11. Compliance, Privacy &amp; Risk</w:t>
      </w:r>
    </w:p>
    <w:p>
      <w:pPr>
        <w:tabs>
          <w:tab w:val="right" w:pos="9000"/>
        </w:tabs>
        <w:spacing w:after="60"/>
      </w:pPr>
      <w:r>
        <w:rPr>
          <w:sz w:val="22"/>
          <w:szCs w:val="22"/>
        </w:rPr>
        <w:t xml:space="preserve">12. Assumptions, Dependencies, Constraints</w:t>
      </w:r>
    </w:p>
    <w:p>
      <w:pPr>
        <w:tabs>
          <w:tab w:val="right" w:pos="9000"/>
        </w:tabs>
        <w:spacing w:after="60"/>
      </w:pPr>
      <w:r>
        <w:rPr>
          <w:sz w:val="22"/>
          <w:szCs w:val="22"/>
        </w:rPr>
        <w:t xml:space="preserve">13. Open Questions</w:t>
      </w:r>
    </w:p>
    <w:p>
      <w:pPr>
        <w:tabs>
          <w:tab w:val="right" w:pos="9000"/>
        </w:tabs>
        <w:spacing w:after="60"/>
      </w:pPr>
      <w:r>
        <w:rPr>
          <w:sz w:val="22"/>
          <w:szCs w:val="22"/>
        </w:rPr>
        <w:t xml:space="preserve">14. Glossary</w:t>
      </w:r>
    </w:p>
    <w:p>
      <w:pPr>
        <w:tabs>
          <w:tab w:val="right" w:pos="9000"/>
        </w:tabs>
        <w:spacing w:after="60"/>
      </w:pPr>
      <w:r>
        <w:rPr>
          <w:sz w:val="22"/>
          <w:szCs w:val="22"/>
        </w:rPr>
        <w:t xml:space="preserve">15. Document Control</w:t>
      </w:r>
    </w:p>
    <w:p>
      <w:r>
        <w:br w:type="page"/>
      </w:r>
    </w:p>
    <w:p>
      <w:pPr>
        <w:pStyle w:val="Heading1"/>
      </w:pPr>
      <w:r>
        <w:t xml:space="preserve">1. Executive Summary</w:t>
      </w:r>
    </w:p>
    <w:p>
      <w:pPr>
        <w:pBdr>
          <w:bottom w:val="single" w:color="1F3A5F" w:sz="6" w:space="4"/>
        </w:pBdr>
        <w:spacing w:after="200" w:before="80"/>
      </w:pPr>
      <w:r>
        <w:t xml:space="preserve"/>
      </w:r>
    </w:p>
    <w:p>
      <w:pPr>
        <w:spacing w:after="120" w:before="0"/>
      </w:pPr>
      <w:r>
        <w:t xml:space="preserve">Helfa (working name) is a personalised guidance app for international residents in Germany. It is not a CRM, a document storage app, or a substitute for the German government. It is a workflow-first companion that knows the user's nationality, target city, visa pathway, and family situation, and tells them — in the right order, with the right deadlines — what to do, where to go, and what to bring.</w:t>
      </w:r>
    </w:p>
    <w:p>
      <w:pPr>
        <w:spacing w:after="120" w:before="0"/>
      </w:pPr>
      <w:r>
        <w:t xml:space="preserve">Germany has roughly 12.4 million foreign residents and approximately 402,000 international students. The bureaucratic system serving them is more reformed, more digital, and more dysfunctional than at any point in two decades. Berlin's LEA replaced its appointment booking system with an opaque "we'll contact you" model in 2024–2025. Munich's KVR was raided by police in March 2025 over a cash-for-visas scandal. Stuttgart processed people who slept on the street until October 2023. Each of the 16 Bundesländer enforces federal immigration law differently, and each major city's Ausländerbehörde, Bürgeramt, and Standesamt run on different portals, different document checklists, and different appointment-booking conventions.</w:t>
      </w:r>
    </w:p>
    <w:p>
      <w:pPr>
        <w:spacing w:after="120" w:before="0"/>
      </w:pPr>
      <w:r>
        <w:t xml:space="preserve">The result is a fragmented pain landscape that today is monetised by seven separate verticals — health insurance brokers (Feather, ottonova), blocked-account providers (Fintiba, Expatrio), sworn translators (BDÜ freelancers, Beglaubigung24), furnished housing portals (Wunderflats, HousingAnywhere), boutique relocation agencies (FarawayHome, Expath), immigration lawyers, and tax advisors. No single product unifies them under a workflow. Existing content sites (Simple Germany, Settle in Berlin, All About Berlin, IamExpat) describe steps without sequencing them. Boutique relocation agencies sequence steps but charge €830–€5,000 and don't scale.</w:t>
      </w:r>
    </w:p>
    <w:p>
      <w:pPr>
        <w:spacing w:after="120" w:before="0"/>
      </w:pPr>
      <w:r>
        <w:t xml:space="preserve">Helfa is the workflow layer between the free-but-unusable government portals and the expensive boutique services. It combines (a) a personalised bureaucratic sequencer, (b) a document vault with apostille and translation status tracking, (c) deadline-driven reminders with escalation, (d) city-specific authoritative guides for the top five Bundesländer (Bayern, NRW, Berlin, Hessen, Baden-Württemberg), and (e) a transparent partner marketplace for translation, insurance, banking, housing, and legal services.</w:t>
      </w:r>
    </w:p>
    <w:p>
      <w:pPr>
        <w:spacing w:after="120" w:before="0"/>
      </w:pPr>
      <w:r>
        <w:t xml:space="preserve">The MVP targets non-EU master's students arriving in Munich, Berlin, and Stuttgart, the highest-volume and highest-pain cohort. The full vision spans all six personas, all 16 Bundesländer, the full immigration lifecycle from pre-arrival through citizenship, and adjacent bureaucracy (banking, taxes, housing, family, driving, translation, recognition).</w:t>
      </w:r>
    </w:p>
    <w:p>
      <w:pPr>
        <w:spacing w:after="120" w:before="0"/>
      </w:pPr>
      <w:r>
        <w:t xml:space="preserve">This document is the v1.0 Product Requirements Document. It is paired with seven companion deliverables — User Journey Flowcharts, Use Cases, Functional &amp; Non-Functional Requirements, Wireframes, Domain Model &amp; API Specification, Test Plan &amp; Test Cases, and Migration Plan — that collectively define the product from strategy through engineering implementation.</w:t>
      </w:r>
    </w:p>
    <w:p>
      <w:r>
        <w:br w:type="page"/>
      </w:r>
    </w:p>
    <w:p>
      <w:pPr>
        <w:pStyle w:val="Heading1"/>
      </w:pPr>
      <w:r>
        <w:t xml:space="preserve">2. Vision &amp; Mission</w:t>
      </w:r>
    </w:p>
    <w:p>
      <w:pPr>
        <w:pBdr>
          <w:bottom w:val="single" w:color="1F3A5F" w:sz="6" w:space="4"/>
        </w:pBdr>
        <w:spacing w:after="200" w:before="80"/>
      </w:pPr>
      <w:r>
        <w:t xml:space="preserve"/>
      </w:r>
    </w:p>
    <w:p>
      <w:pPr>
        <w:pStyle w:val="Heading2"/>
      </w:pPr>
      <w:r>
        <w:t xml:space="preserve">2.1 Vision</w:t>
      </w:r>
    </w:p>
    <w:p>
      <w:pPr>
        <w:spacing w:after="120" w:before="0"/>
      </w:pPr>
      <w:r>
        <w:t xml:space="preserve">Every international resident in Germany — student, worker, family member, refugee, future citizen — deserves a single, trustworthy companion that walks them through the bureaucracy in their language, in the right order, on time.</w:t>
      </w:r>
    </w:p>
    <w:p>
      <w:pPr>
        <w:pStyle w:val="Heading2"/>
      </w:pPr>
      <w:r>
        <w:t xml:space="preserve">2.2 Mission</w:t>
      </w:r>
    </w:p>
    <w:p>
      <w:pPr>
        <w:spacing w:after="120" w:before="0"/>
      </w:pPr>
      <w:r>
        <w:t xml:space="preserve">Helfa eliminates the sequencing gap in German immigration. We turn 30+ scattered tasks across federal, state, and city authorities into one personalised, deadline-driven workflow, and we route users to vetted partners with transparent commissions when they need to spend money.</w:t>
      </w:r>
    </w:p>
    <w:p>
      <w:pPr>
        <w:pStyle w:val="Heading2"/>
      </w:pPr>
      <w:r>
        <w:t xml:space="preserve">2.3 Brand promise</w:t>
      </w:r>
    </w:p>
    <w:p>
      <w:pPr>
        <w:pStyle w:val="ListParagraph"/>
        <w:numPr>
          <w:ilvl w:val="0"/>
          <w:numId w:val="2"/>
        </w:numPr>
        <w:spacing w:after="60"/>
      </w:pPr>
      <w:r>
        <w:t xml:space="preserve">Trustworthy: every recommendation is sourced, current, and free of hidden incentives.</w:t>
      </w:r>
    </w:p>
    <w:p>
      <w:pPr>
        <w:pStyle w:val="ListParagraph"/>
        <w:numPr>
          <w:ilvl w:val="0"/>
          <w:numId w:val="2"/>
        </w:numPr>
        <w:spacing w:after="60"/>
      </w:pPr>
      <w:r>
        <w:t xml:space="preserve">Personalised: nationality, visa pathway, city, and family context shape every screen.</w:t>
      </w:r>
    </w:p>
    <w:p>
      <w:pPr>
        <w:pStyle w:val="ListParagraph"/>
        <w:numPr>
          <w:ilvl w:val="0"/>
          <w:numId w:val="2"/>
        </w:numPr>
        <w:spacing w:after="60"/>
      </w:pPr>
      <w:r>
        <w:t xml:space="preserve">On time: deadlines drive the product loop; we tell you what is due before you breach it.</w:t>
      </w:r>
    </w:p>
    <w:p>
      <w:pPr>
        <w:pStyle w:val="ListParagraph"/>
        <w:numPr>
          <w:ilvl w:val="0"/>
          <w:numId w:val="2"/>
        </w:numPr>
        <w:spacing w:after="60"/>
      </w:pPr>
      <w:r>
        <w:t xml:space="preserve">Honest: where free options exist, we say so; where paid help is needed, we name the price.</w:t>
      </w:r>
    </w:p>
    <w:p>
      <w:pPr>
        <w:pStyle w:val="ListParagraph"/>
        <w:numPr>
          <w:ilvl w:val="0"/>
          <w:numId w:val="2"/>
        </w:numPr>
        <w:spacing w:after="60"/>
      </w:pPr>
      <w:r>
        <w:t xml:space="preserve">Multilingual-first: English by default, with German, Arabic, Hindi, Persian, Turkish, French, and Ukrainian on the roadmap.</w:t>
      </w:r>
    </w:p>
    <w:p>
      <w:pPr>
        <w:pStyle w:val="Heading2"/>
      </w:pPr>
      <w:r>
        <w:t xml:space="preserve">2.4 What Helfa is NOT</w:t>
      </w:r>
    </w:p>
    <w:p>
      <w:pPr>
        <w:pStyle w:val="ListParagraph"/>
        <w:numPr>
          <w:ilvl w:val="0"/>
          <w:numId w:val="2"/>
        </w:numPr>
        <w:spacing w:after="60"/>
      </w:pPr>
      <w:r>
        <w:t xml:space="preserve">Not a substitute for the German government — users still apply through official channels.</w:t>
      </w:r>
    </w:p>
    <w:p>
      <w:pPr>
        <w:pStyle w:val="ListParagraph"/>
        <w:numPr>
          <w:ilvl w:val="0"/>
          <w:numId w:val="2"/>
        </w:numPr>
        <w:spacing w:after="60"/>
      </w:pPr>
      <w:r>
        <w:t xml:space="preserve">Not a document repository for third-party processing — documents stay on the user's device or in their account; Helfa does not submit on the user's behalf.</w:t>
      </w:r>
    </w:p>
    <w:p>
      <w:pPr>
        <w:pStyle w:val="ListParagraph"/>
        <w:numPr>
          <w:ilvl w:val="0"/>
          <w:numId w:val="2"/>
        </w:numPr>
        <w:spacing w:after="60"/>
      </w:pPr>
      <w:r>
        <w:t xml:space="preserve">Not legal advice — Helfa surfaces partner lawyers when legal advice is required.</w:t>
      </w:r>
    </w:p>
    <w:p>
      <w:pPr>
        <w:pStyle w:val="ListParagraph"/>
        <w:numPr>
          <w:ilvl w:val="0"/>
          <w:numId w:val="2"/>
        </w:numPr>
        <w:spacing w:after="60"/>
      </w:pPr>
      <w:r>
        <w:t xml:space="preserve">Not an unlicensed advisor — regulated functions (insurance brokerage, tax advice) operate via licensed partners.</w:t>
      </w:r>
    </w:p>
    <w:p>
      <w:r>
        <w:br w:type="page"/>
      </w:r>
    </w:p>
    <w:p>
      <w:pPr>
        <w:pStyle w:val="Heading1"/>
      </w:pPr>
      <w:r>
        <w:t xml:space="preserve">3. Problem Statement</w:t>
      </w:r>
    </w:p>
    <w:p>
      <w:pPr>
        <w:pBdr>
          <w:bottom w:val="single" w:color="1F3A5F" w:sz="6" w:space="4"/>
        </w:pBdr>
        <w:spacing w:after="200" w:before="80"/>
      </w:pPr>
      <w:r>
        <w:t xml:space="preserve"/>
      </w:r>
    </w:p>
    <w:p>
      <w:pPr>
        <w:pStyle w:val="Heading2"/>
      </w:pPr>
      <w:r>
        <w:t xml:space="preserve">3.1 The compound problem</w:t>
      </w:r>
    </w:p>
    <w:p>
      <w:pPr>
        <w:spacing w:after="120" w:before="0"/>
      </w:pPr>
      <w:r>
        <w:t xml:space="preserve">German immigration bureaucracy fails international residents at three layers.</w:t>
      </w:r>
    </w:p>
    <w:p>
      <w:pPr>
        <w:spacing w:after="120" w:before="0"/>
      </w:pPr>
      <w:r>
        <w:rPr>
          <w:i w:val="false"/>
          <w:iCs w:val="false"/>
        </w:rPr>
        <w:t xml:space="preserve">Federal complexity. Aufenthaltsgesetz, Bundesmeldegesetz, Rundfunkbeitragsstaatsvertrag, BGB tenancy law, FeV driver-licence rules, ZAB credential recognition, and the 2024–2025 citizenship reform all interact. None of this is in one place. Make-it-in-Germany.com offers information without workflow; ELSTER is German-only; Anabin's UI is hostile.</w:t>
      </w:r>
    </w:p>
    <w:p>
      <w:pPr>
        <w:spacing w:after="120" w:before="0"/>
      </w:pPr>
      <w:r>
        <w:t xml:space="preserve">State and city execution. The same federal law produces wildly different outcomes. Munich's KVR insists on 12-week lead times. Berlin's LEA replaced its bookable system with an email-only triage. Düsseldorf has the country's only AI document checker. Stuttgart added an online emergency-Termin in October 2023 after years of overnight queues. Baden-Württemberg's Service-BW unifies most online services across the state. There is no national equivalent.</w:t>
      </w:r>
    </w:p>
    <w:p>
      <w:pPr>
        <w:spacing w:after="120" w:before="0"/>
      </w:pPr>
      <w:r>
        <w:t xml:space="preserve">Nationality-specific traps. Indian, Pakistani, Nigerian, Iranian, Syrian, and Chinese applicants each face additional layers — apostille chains rejected by Germany, Ehefähigkeitszeugnis impossibility forcing OLG-Befreiung, Tehran consulate near-collapse since June 2025, banking sanctions blocking remittances, ZAB recognition timelines of 6–12 months. Americans face inverse pain: privileged passports but FATCA, FBAR, and PFIC tax friction.</w:t>
      </w:r>
    </w:p>
    <w:p>
      <w:pPr>
        <w:pStyle w:val="Heading2"/>
      </w:pPr>
      <w:r>
        <w:t xml:space="preserve">3.2 The market gap</w:t>
      </w:r>
    </w:p>
    <w:p>
      <w:pPr>
        <w:spacing w:after="120" w:before="0"/>
      </w:pPr>
      <w:r>
        <w:t xml:space="preserve">Today, the pain is monetised but fragmented. Seven separate verticals each charge €100–€2,000+ per migrant per lifecycle, but no single product unifies them with a personalised workflow. Government portals are free but unusable. Boutique relocation agencies are usable but cost €830–€5,000 and don't scale. Content sites generate organic traffic but explicitly disclaim being apps.</w:t>
      </w:r>
    </w:p>
    <w:p>
      <w:pPr>
        <w:spacing w:after="120" w:before="0"/>
      </w:pPr>
      <w:r>
        <w:t xml:space="preserve">Helfa fills the workflow gap between free portals and boutique relocation. The opportunity is workflow trust — not better content, not cheaper relocation, but a single product that knows the user's situation, sequences their tasks, surfaces deadlines before they breach, flags document gaps, escalates when authorities go silent, and routes to vetted partners with transparent commissions.</w:t>
      </w:r>
    </w:p>
    <w:p>
      <w:pPr>
        <w:pStyle w:val="Heading2"/>
      </w:pPr>
      <w:r>
        <w:t xml:space="preserve">3.3 Why now</w:t>
      </w:r>
    </w:p>
    <w:p>
      <w:pPr>
        <w:spacing w:after="120" w:before="0"/>
      </w:pPr>
      <w:r>
        <w:t xml:space="preserve">The German immigration system in 2026 is more reformed and more confused than at any point in two decades:</w:t>
      </w:r>
    </w:p>
    <w:p>
      <w:pPr>
        <w:pStyle w:val="ListParagraph"/>
        <w:numPr>
          <w:ilvl w:val="0"/>
          <w:numId w:val="2"/>
        </w:numPr>
        <w:spacing w:after="60"/>
      </w:pPr>
      <w:r>
        <w:t xml:space="preserve">June 2024 citizenship reform reduced the residence requirement from 8 to 5 years and allowed dual citizenship.</w:t>
      </w:r>
    </w:p>
    <w:p>
      <w:pPr>
        <w:pStyle w:val="ListParagraph"/>
        <w:numPr>
          <w:ilvl w:val="0"/>
          <w:numId w:val="2"/>
        </w:numPr>
        <w:spacing w:after="60"/>
      </w:pPr>
      <w:r>
        <w:t xml:space="preserve">October 2025 reform repealed the 3-year fast-track but preserved the 5-year rule.</w:t>
      </w:r>
    </w:p>
    <w:p>
      <w:pPr>
        <w:pStyle w:val="ListParagraph"/>
        <w:numPr>
          <w:ilvl w:val="0"/>
          <w:numId w:val="2"/>
        </w:numPr>
        <w:spacing w:after="60"/>
      </w:pPr>
      <w:r>
        <w:t xml:space="preserve">Subsidiary-protection family reunification is suspended from 24 July 2025 to 24 July 2027.</w:t>
      </w:r>
    </w:p>
    <w:p>
      <w:pPr>
        <w:pStyle w:val="ListParagraph"/>
        <w:numPr>
          <w:ilvl w:val="0"/>
          <w:numId w:val="2"/>
        </w:numPr>
        <w:spacing w:after="60"/>
      </w:pPr>
      <w:r>
        <w:t xml:space="preserve">Berlin LEA's centralisation of citizenship processing in January 2024 created a 75,000-application backlog.</w:t>
      </w:r>
    </w:p>
    <w:p>
      <w:pPr>
        <w:pStyle w:val="ListParagraph"/>
        <w:numPr>
          <w:ilvl w:val="0"/>
          <w:numId w:val="2"/>
        </w:numPr>
        <w:spacing w:after="60"/>
      </w:pPr>
      <w:r>
        <w:t xml:space="preserve">Munich KVR's March 2025 corruption raid changed appointment dynamics.</w:t>
      </w:r>
    </w:p>
    <w:p>
      <w:pPr>
        <w:pStyle w:val="ListParagraph"/>
        <w:numPr>
          <w:ilvl w:val="0"/>
          <w:numId w:val="2"/>
        </w:numPr>
        <w:spacing w:after="60"/>
      </w:pPr>
      <w:r>
        <w:t xml:space="preserve">Coracle stopped accepting new blocked-account applications in August 2025.</w:t>
      </w:r>
    </w:p>
    <w:p>
      <w:pPr>
        <w:pStyle w:val="ListParagraph"/>
        <w:numPr>
          <w:ilvl w:val="0"/>
          <w:numId w:val="2"/>
        </w:numPr>
        <w:spacing w:after="60"/>
      </w:pPr>
      <w:r>
        <w:t xml:space="preserve">Tehran consulate is in near-collapse since the June 2025 12-day war.</w:t>
      </w:r>
    </w:p>
    <w:p>
      <w:pPr>
        <w:pStyle w:val="ListParagraph"/>
        <w:numPr>
          <w:ilvl w:val="0"/>
          <w:numId w:val="2"/>
        </w:numPr>
        <w:spacing w:after="60"/>
      </w:pPr>
      <w:r>
        <w:t xml:space="preserve">Düsseldorf launched the country's first AI document checker in 2024.</w:t>
      </w:r>
    </w:p>
    <w:p>
      <w:pPr>
        <w:pStyle w:val="ListParagraph"/>
        <w:numPr>
          <w:ilvl w:val="0"/>
          <w:numId w:val="2"/>
        </w:numPr>
        <w:spacing w:after="60"/>
      </w:pPr>
      <w:r>
        <w:t xml:space="preserve">Service-BW expanded across Baden-Württemberg in 2025.</w:t>
      </w:r>
    </w:p>
    <w:p>
      <w:pPr>
        <w:pStyle w:val="ListParagraph"/>
        <w:numPr>
          <w:ilvl w:val="0"/>
          <w:numId w:val="2"/>
        </w:numPr>
        <w:spacing w:after="60"/>
      </w:pPr>
      <w:r>
        <w:t xml:space="preserve">The Chancenkarte points-based job-seeker visa launched June 2024.</w:t>
      </w:r>
    </w:p>
    <w:p>
      <w:pPr>
        <w:pStyle w:val="ListParagraph"/>
        <w:numPr>
          <w:ilvl w:val="0"/>
          <w:numId w:val="2"/>
        </w:numPr>
        <w:spacing w:after="60"/>
      </w:pPr>
      <w:r>
        <w:t xml:space="preserve">EU Blue Card thresholds for 2026 are €50,700 (standard) and €45,934.20 (shortage occupations).</w:t>
      </w:r>
    </w:p>
    <w:p>
      <w:pPr>
        <w:spacing w:after="120" w:before="0"/>
      </w:pPr>
      <w:r>
        <w:t xml:space="preserve">Generic content sites cannot keep up with this regulatory volatility. Boutique relocation agencies cannot scale. The market is ready for a single, current, opinionated, partner-curated product.</w:t>
      </w:r>
    </w:p>
    <w:p>
      <w:r>
        <w:br w:type="page"/>
      </w:r>
    </w:p>
    <w:p>
      <w:pPr>
        <w:pStyle w:val="Heading1"/>
      </w:pPr>
      <w:r>
        <w:t xml:space="preserve">4. Goals, Non-Goals, and Success Metrics</w:t>
      </w:r>
    </w:p>
    <w:p>
      <w:pPr>
        <w:pBdr>
          <w:bottom w:val="single" w:color="1F3A5F" w:sz="6" w:space="4"/>
        </w:pBdr>
        <w:spacing w:after="200" w:before="80"/>
      </w:pPr>
      <w:r>
        <w:t xml:space="preserve"/>
      </w:r>
    </w:p>
    <w:p>
      <w:pPr>
        <w:pStyle w:val="Heading2"/>
      </w:pPr>
      <w:r>
        <w:t xml:space="preserve">4.1 Product goals (12-month horizon)</w:t>
      </w:r>
    </w:p>
    <w:p>
      <w:pPr>
        <w:pStyle w:val="ListParagraph"/>
        <w:numPr>
          <w:ilvl w:val="0"/>
          <w:numId w:val="3"/>
        </w:numPr>
        <w:spacing w:after="60"/>
      </w:pPr>
      <w:r>
        <w:t xml:space="preserve">Deliver a workflow-first MVP that sequences the top 30 bureaucratic tasks for the non-EU master's student persona in Munich, Berlin, and Stuttgart.</w:t>
      </w:r>
    </w:p>
    <w:p>
      <w:pPr>
        <w:pStyle w:val="ListParagraph"/>
        <w:numPr>
          <w:ilvl w:val="0"/>
          <w:numId w:val="3"/>
        </w:numPr>
        <w:spacing w:after="60"/>
      </w:pPr>
      <w:r>
        <w:t xml:space="preserve">Achieve 5,000 sign-ups in the first six months from organic channels (Reddit, expat Facebook groups, university international offices).</w:t>
      </w:r>
    </w:p>
    <w:p>
      <w:pPr>
        <w:pStyle w:val="ListParagraph"/>
        <w:numPr>
          <w:ilvl w:val="0"/>
          <w:numId w:val="3"/>
        </w:numPr>
        <w:spacing w:after="60"/>
      </w:pPr>
      <w:r>
        <w:t xml:space="preserve">Convert 20% of sign-ups to at least one partner action (Sperrkonto signup, insurance quote, accommodation booking, sworn-translation order).</w:t>
      </w:r>
    </w:p>
    <w:p>
      <w:pPr>
        <w:pStyle w:val="ListParagraph"/>
        <w:numPr>
          <w:ilvl w:val="0"/>
          <w:numId w:val="3"/>
        </w:numPr>
        <w:spacing w:after="60"/>
      </w:pPr>
      <w:r>
        <w:t xml:space="preserve">Maintain Day-30 retention above 30% through deadline-driven push notifications.</w:t>
      </w:r>
    </w:p>
    <w:p>
      <w:pPr>
        <w:pStyle w:val="ListParagraph"/>
        <w:numPr>
          <w:ilvl w:val="0"/>
          <w:numId w:val="3"/>
        </w:numPr>
        <w:spacing w:after="60"/>
      </w:pPr>
      <w:r>
        <w:t xml:space="preserve">Expand to all six personas and all five target Bundesländer by end of Phase 2.</w:t>
      </w:r>
    </w:p>
    <w:p>
      <w:pPr>
        <w:pStyle w:val="ListParagraph"/>
        <w:numPr>
          <w:ilvl w:val="0"/>
          <w:numId w:val="3"/>
        </w:numPr>
        <w:spacing w:after="60"/>
      </w:pPr>
      <w:r>
        <w:t xml:space="preserve">Reach €100K MRR by end of Year 2 through partner commissions, premium subscriptions, and concierge fees.</w:t>
      </w:r>
    </w:p>
    <w:p>
      <w:pPr>
        <w:pStyle w:val="Heading2"/>
      </w:pPr>
      <w:r>
        <w:t xml:space="preserve">4.2 Non-goals</w:t>
      </w:r>
    </w:p>
    <w:p>
      <w:pPr>
        <w:pStyle w:val="ListParagraph"/>
        <w:numPr>
          <w:ilvl w:val="0"/>
          <w:numId w:val="2"/>
        </w:numPr>
        <w:spacing w:after="60"/>
      </w:pPr>
      <w:r>
        <w:t xml:space="preserve">We will not build our own blocked-account, insurance, translation, banking, housing, or legal-advice products. We aggregate licensed partners.</w:t>
      </w:r>
    </w:p>
    <w:p>
      <w:pPr>
        <w:pStyle w:val="ListParagraph"/>
        <w:numPr>
          <w:ilvl w:val="0"/>
          <w:numId w:val="2"/>
        </w:numPr>
        <w:spacing w:after="60"/>
      </w:pPr>
      <w:r>
        <w:t xml:space="preserve">We will not submit documents to German authorities on the user's behalf. Helfa is a guide, not an agent.</w:t>
      </w:r>
    </w:p>
    <w:p>
      <w:pPr>
        <w:pStyle w:val="ListParagraph"/>
        <w:numPr>
          <w:ilvl w:val="0"/>
          <w:numId w:val="2"/>
        </w:numPr>
        <w:spacing w:after="60"/>
      </w:pPr>
      <w:r>
        <w:t xml:space="preserve">We will not provide medical, legal, or tax advice in-house. We surface licensed partners.</w:t>
      </w:r>
    </w:p>
    <w:p>
      <w:pPr>
        <w:pStyle w:val="ListParagraph"/>
        <w:numPr>
          <w:ilvl w:val="0"/>
          <w:numId w:val="2"/>
        </w:numPr>
        <w:spacing w:after="60"/>
      </w:pPr>
      <w:r>
        <w:t xml:space="preserve">We will not target EU citizens as a primary persona — their bureaucratic burden is materially smaller.</w:t>
      </w:r>
    </w:p>
    <w:p>
      <w:pPr>
        <w:pStyle w:val="ListParagraph"/>
        <w:numPr>
          <w:ilvl w:val="0"/>
          <w:numId w:val="2"/>
        </w:numPr>
        <w:spacing w:after="60"/>
      </w:pPr>
      <w:r>
        <w:t xml:space="preserve">We will not build a corporate HR-tier product in MVP (deferred to Phase 3).</w:t>
      </w:r>
    </w:p>
    <w:p>
      <w:pPr>
        <w:pStyle w:val="ListParagraph"/>
        <w:numPr>
          <w:ilvl w:val="0"/>
          <w:numId w:val="2"/>
        </w:numPr>
        <w:spacing w:after="60"/>
      </w:pPr>
      <w:r>
        <w:t xml:space="preserve">We will not enter pre-arrival visa application from outside Germany as the primary entry point — entry begins post-D-visa or at the planning stage of Anmeldung.</w:t>
      </w:r>
    </w:p>
    <w:p>
      <w:pPr>
        <w:pStyle w:val="Heading2"/>
      </w:pPr>
      <w:r>
        <w:t xml:space="preserve">4.3 Success metrics</w:t>
      </w:r>
    </w:p>
    <w:p>
      <w:pPr>
        <w:spacing w:after="120" w:before="0"/>
      </w:pPr>
      <w:r>
        <w:t xml:space="preserve">Metrics are tracked at three levels.</w:t>
      </w:r>
    </w:p>
    <w:p>
      <w:pPr>
        <w:pStyle w:val="Heading3"/>
      </w:pPr>
      <w:r>
        <w:t xml:space="preserve">North-star metric</w:t>
      </w:r>
    </w:p>
    <w:p>
      <w:pPr>
        <w:pStyle w:val="ListParagraph"/>
        <w:numPr>
          <w:ilvl w:val="0"/>
          <w:numId w:val="2"/>
        </w:numPr>
        <w:spacing w:after="60"/>
      </w:pPr>
      <w:r>
        <w:t xml:space="preserve">Active Bureaucratic Journeys (ABJ): number of users with at least one task completed and one deadline upcoming in the last 30 days.</w:t>
      </w:r>
    </w:p>
    <w:p>
      <w:pPr>
        <w:pStyle w:val="Heading3"/>
      </w:pPr>
      <w:r>
        <w:t xml:space="preserve">Acquisition</w:t>
      </w:r>
    </w:p>
    <w:p>
      <w:pPr>
        <w:pStyle w:val="ListParagraph"/>
        <w:numPr>
          <w:ilvl w:val="0"/>
          <w:numId w:val="2"/>
        </w:numPr>
        <w:spacing w:after="60"/>
      </w:pPr>
      <w:r>
        <w:t xml:space="preserve">Monthly sign-ups; cost per acquisition by channel; share of organic vs paid; top-of-funnel by city and nationality.</w:t>
      </w:r>
    </w:p>
    <w:p>
      <w:pPr>
        <w:pStyle w:val="Heading3"/>
      </w:pPr>
      <w:r>
        <w:t xml:space="preserve">Activation</w:t>
      </w:r>
    </w:p>
    <w:p>
      <w:pPr>
        <w:pStyle w:val="ListParagraph"/>
        <w:numPr>
          <w:ilvl w:val="0"/>
          <w:numId w:val="2"/>
        </w:numPr>
        <w:spacing w:after="60"/>
      </w:pPr>
      <w:r>
        <w:t xml:space="preserve">Onboarding completion rate (target ≥ 70%).</w:t>
      </w:r>
    </w:p>
    <w:p>
      <w:pPr>
        <w:pStyle w:val="ListParagraph"/>
        <w:numPr>
          <w:ilvl w:val="0"/>
          <w:numId w:val="2"/>
        </w:numPr>
        <w:spacing w:after="60"/>
      </w:pPr>
      <w:r>
        <w:t xml:space="preserve">First task completed within 7 days of sign-up (target ≥ 50%).</w:t>
      </w:r>
    </w:p>
    <w:p>
      <w:pPr>
        <w:pStyle w:val="ListParagraph"/>
        <w:numPr>
          <w:ilvl w:val="0"/>
          <w:numId w:val="2"/>
        </w:numPr>
        <w:spacing w:after="60"/>
      </w:pPr>
      <w:r>
        <w:t xml:space="preserve">Document vault populated with ≥ 3 documents within 14 days (target ≥ 40%).</w:t>
      </w:r>
    </w:p>
    <w:p>
      <w:pPr>
        <w:pStyle w:val="Heading3"/>
      </w:pPr>
      <w:r>
        <w:t xml:space="preserve">Retention</w:t>
      </w:r>
    </w:p>
    <w:p>
      <w:pPr>
        <w:pStyle w:val="ListParagraph"/>
        <w:numPr>
          <w:ilvl w:val="0"/>
          <w:numId w:val="2"/>
        </w:numPr>
        <w:spacing w:after="60"/>
      </w:pPr>
      <w:r>
        <w:t xml:space="preserve">Day-7, Day-30, Day-90 retention curves.</w:t>
      </w:r>
    </w:p>
    <w:p>
      <w:pPr>
        <w:pStyle w:val="ListParagraph"/>
        <w:numPr>
          <w:ilvl w:val="0"/>
          <w:numId w:val="2"/>
        </w:numPr>
        <w:spacing w:after="60"/>
      </w:pPr>
      <w:r>
        <w:t xml:space="preserve">Push-notification CTR on deadline reminders (target ≥ 25%).</w:t>
      </w:r>
    </w:p>
    <w:p>
      <w:pPr>
        <w:pStyle w:val="ListParagraph"/>
        <w:numPr>
          <w:ilvl w:val="0"/>
          <w:numId w:val="2"/>
        </w:numPr>
        <w:spacing w:after="60"/>
      </w:pPr>
      <w:r>
        <w:t xml:space="preserve">Re-engagement after a 30-day silence (target ≥ 15%).</w:t>
      </w:r>
    </w:p>
    <w:p>
      <w:pPr>
        <w:pStyle w:val="Heading3"/>
      </w:pPr>
      <w:r>
        <w:t xml:space="preserve">Revenue</w:t>
      </w:r>
    </w:p>
    <w:p>
      <w:pPr>
        <w:pStyle w:val="ListParagraph"/>
        <w:numPr>
          <w:ilvl w:val="0"/>
          <w:numId w:val="2"/>
        </w:numPr>
        <w:spacing w:after="60"/>
      </w:pPr>
      <w:r>
        <w:t xml:space="preserve">Partner conversion rate per category (Sperrkonto, insurance, housing, translation, legal).</w:t>
      </w:r>
    </w:p>
    <w:p>
      <w:pPr>
        <w:pStyle w:val="ListParagraph"/>
        <w:numPr>
          <w:ilvl w:val="0"/>
          <w:numId w:val="2"/>
        </w:numPr>
        <w:spacing w:after="60"/>
      </w:pPr>
      <w:r>
        <w:t xml:space="preserve">Average partner commission per converted user.</w:t>
      </w:r>
    </w:p>
    <w:p>
      <w:pPr>
        <w:pStyle w:val="ListParagraph"/>
        <w:numPr>
          <w:ilvl w:val="0"/>
          <w:numId w:val="2"/>
        </w:numPr>
        <w:spacing w:after="60"/>
      </w:pPr>
      <w:r>
        <w:t xml:space="preserve">Premium subscription conversion (target 5% of active users by end of Year 1).</w:t>
      </w:r>
    </w:p>
    <w:p>
      <w:pPr>
        <w:pStyle w:val="ListParagraph"/>
        <w:numPr>
          <w:ilvl w:val="0"/>
          <w:numId w:val="2"/>
        </w:numPr>
        <w:spacing w:after="60"/>
      </w:pPr>
      <w:r>
        <w:t xml:space="preserve">Concierge attach rate (paid concierge cases per 1,000 active users).</w:t>
      </w:r>
    </w:p>
    <w:p>
      <w:pPr>
        <w:pStyle w:val="ListParagraph"/>
        <w:numPr>
          <w:ilvl w:val="0"/>
          <w:numId w:val="2"/>
        </w:numPr>
        <w:spacing w:after="60"/>
      </w:pPr>
      <w:r>
        <w:t xml:space="preserve">MRR / ARR; gross margin; CAC payback period.</w:t>
      </w:r>
    </w:p>
    <w:p>
      <w:pPr>
        <w:pStyle w:val="Heading3"/>
      </w:pPr>
      <w:r>
        <w:t xml:space="preserve">Trust &amp; quality</w:t>
      </w:r>
    </w:p>
    <w:p>
      <w:pPr>
        <w:pStyle w:val="ListParagraph"/>
        <w:numPr>
          <w:ilvl w:val="0"/>
          <w:numId w:val="2"/>
        </w:numPr>
        <w:spacing w:after="60"/>
      </w:pPr>
      <w:r>
        <w:t xml:space="preserve">Net Promoter Score (target NPS ≥ 50).</w:t>
      </w:r>
    </w:p>
    <w:p>
      <w:pPr>
        <w:pStyle w:val="ListParagraph"/>
        <w:numPr>
          <w:ilvl w:val="0"/>
          <w:numId w:val="2"/>
        </w:numPr>
        <w:spacing w:after="60"/>
      </w:pPr>
      <w:r>
        <w:t xml:space="preserve">Authority-data freshness: mean age of last verification per city office (target ≤ 30 days).</w:t>
      </w:r>
    </w:p>
    <w:p>
      <w:pPr>
        <w:pStyle w:val="ListParagraph"/>
        <w:numPr>
          <w:ilvl w:val="0"/>
          <w:numId w:val="2"/>
        </w:numPr>
        <w:spacing w:after="60"/>
      </w:pPr>
      <w:r>
        <w:t xml:space="preserve">Partner SLA compliance (translation turnaround, insurance quote response time).</w:t>
      </w:r>
    </w:p>
    <w:p>
      <w:pPr>
        <w:pStyle w:val="ListParagraph"/>
        <w:numPr>
          <w:ilvl w:val="0"/>
          <w:numId w:val="2"/>
        </w:numPr>
        <w:spacing w:after="60"/>
      </w:pPr>
      <w:r>
        <w:t xml:space="preserve">Untätigkeitsklage success rate among users who escalate.</w:t>
      </w:r>
    </w:p>
    <w:p>
      <w:r>
        <w:br w:type="page"/>
      </w:r>
    </w:p>
    <w:p>
      <w:pPr>
        <w:pStyle w:val="Heading1"/>
      </w:pPr>
      <w:r>
        <w:t xml:space="preserve">5. Target Users &amp; Personas</w:t>
      </w:r>
    </w:p>
    <w:p>
      <w:pPr>
        <w:pBdr>
          <w:bottom w:val="single" w:color="1F3A5F" w:sz="6" w:space="4"/>
        </w:pBdr>
        <w:spacing w:after="200" w:before="80"/>
      </w:pPr>
      <w:r>
        <w:t xml:space="preserve"/>
      </w:r>
    </w:p>
    <w:p>
      <w:pPr>
        <w:spacing w:after="120" w:before="0"/>
      </w:pPr>
      <w:r>
        <w:t xml:space="preserve">The full vision serves six primary personas distilled from the April 2026 research report. Each persona is a real combination of nationality, visa pathway, city, family status, and willingness-to-pay. Product decisions trace back to at least one persona.</w:t>
      </w:r>
    </w:p>
    <w:p>
      <w:pPr>
        <w:pStyle w:val="Heading2"/>
      </w:pPr>
      <w:r>
        <w:t xml:space="preserve">5.1 Persona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Persona</w:t>
            </w:r>
          </w:p>
        </w:tc>
        <w:tc>
          <w:tcPr>
            <w:tcW w:type="dxa" w:w="4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Core pain</w:t>
            </w:r>
          </w:p>
        </w:tc>
        <w:tc>
          <w:tcPr>
            <w:tcW w:type="dxa" w:w="2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WTP indicator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Arjun, 29, Indian software engineer, Munich, Blue Card</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ZAB recognition; KVR appointment scarcity; spouse visa wait at New Delhi consulate; RSU/US tax interaction</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€2,000–€5,000 relocation; €300–€800 tax advisor; broker fees</w:t>
            </w:r>
          </w:p>
        </w:tc>
      </w:tr>
      <w:tr>
        <w:tc>
          <w:tcPr>
            <w:tcW w:type="dxa" w:w="2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Chiamaka, 24, Nigerian master's student, Aschaffenburg</w:t>
            </w:r>
          </w:p>
        </w:tc>
        <w:tc>
          <w:tcPr>
            <w:tcW w:type="dxa" w:w="4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APS bottleneck; visa rejection fear; CBN dual-rate FX; small-city Anmeldung; race-flagged housing rejections</w:t>
            </w:r>
          </w:p>
        </w:tc>
        <w:tc>
          <w:tcPr>
            <w:tcW w:type="dxa" w:w="24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Visa consultants; sworn translation; English-speaking lawyer; Anmeldung-friendly accommodation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Marwan, 33, Syrian recognised refugee, Berlin, §18b transition</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ZAB delay; LEA citizenship backlog (24+ months); Beirut consulate family reunion wait; Ehefähigkeitszeugnis impossibility</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Lawyer for visa appeals (€150–€400/hr); ZAB fees; integration courses beyond mandatory</w:t>
            </w:r>
          </w:p>
        </w:tc>
      </w:tr>
      <w:tr>
        <w:tc>
          <w:tcPr>
            <w:tcW w:type="dxa" w:w="2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Rachel, 31, American spouse, Stuttgart, §28 residence permit</w:t>
            </w:r>
          </w:p>
        </w:tc>
        <w:tc>
          <w:tcPr>
            <w:tcW w:type="dxa" w:w="4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FATCA/PFIC tax trap; brokerage account closures; A1 German requirement; English-language job scarcity outside corporate</w:t>
            </w:r>
          </w:p>
        </w:tc>
        <w:tc>
          <w:tcPr>
            <w:tcW w:type="dxa" w:w="24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US-Germany dual-tax CPA (€500–€2,000); MyExpatTaxes; relocation services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Sahar, 36, Iranian engineer, Frankfurt, Blue Card</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Banking sanctions to Iran; some German banks refuse Iranian customers; Tehran consulate near-collapse; Iranian non-issuance for Ehefähigkeitszeugnis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Specialised Iran-Germany family lawyer; premium banking; licensed money-transfer alternatives</w:t>
            </w:r>
          </w:p>
        </w:tc>
      </w:tr>
      <w:tr>
        <w:tc>
          <w:tcPr>
            <w:tcW w:type="dxa" w:w="2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Olena, 34, Ukrainian mother of two, Düsseldorf, §24</w:t>
            </w:r>
          </w:p>
        </w:tc>
        <w:tc>
          <w:tcPr>
            <w:tcW w:type="dxa" w:w="4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Bürgergeld → AsylbLG transition risk; Welcome Class then Grundschule; Kita waitlist; B1 for accountancy recognition; post-March 2027 status uncertainty</w:t>
            </w:r>
          </w:p>
        </w:tc>
        <w:tc>
          <w:tcPr>
            <w:tcW w:type="dxa" w:w="24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Free social services tier; sometimes paid certified translation; minimal direct WTP but high LTV via partner referrals</w:t>
            </w:r>
          </w:p>
        </w:tc>
      </w:tr>
    </w:tbl>
    <w:p>
      <w:pPr>
        <w:pStyle w:val="Heading2"/>
      </w:pPr>
      <w:r>
        <w:t xml:space="preserve">5.2 Persona distribution and product priority</w:t>
      </w:r>
    </w:p>
    <w:p>
      <w:pPr>
        <w:spacing w:after="120" w:before="0"/>
      </w:pPr>
      <w:r>
        <w:t xml:space="preserve">MVP prioritises Persona 2 (Chiamaka — non-EU master's student) and Persona 1 (Arjun — Blue Card worker) because they represent the highest volume and the cleanest monetisation path through Sperrkonto, insurance, housing, and translation partners. Personas 3–6 enter the product in Phase 2 and Phase 3.</w:t>
      </w:r>
    </w:p>
    <w:p>
      <w:pPr>
        <w:spacing w:after="120" w:before="0"/>
      </w:pPr>
      <w:r>
        <w:t xml:space="preserve">This is a deliberate sequencing choice. Refugees, binational spouses, and Ukrainian protection-status holders have higher legal-aid requirements and lower direct willingness-to-pay; serving them well requires either NGO partnerships or premium-subsidised access, both of which are out of scope for MVP but explicitly in the roadmap.</w:t>
      </w:r>
    </w:p>
    <w:p>
      <w:r>
        <w:br w:type="page"/>
      </w:r>
    </w:p>
    <w:p>
      <w:pPr>
        <w:pStyle w:val="Heading1"/>
      </w:pPr>
      <w:r>
        <w:t xml:space="preserve">6. Scope</w:t>
      </w:r>
    </w:p>
    <w:p>
      <w:pPr>
        <w:pBdr>
          <w:bottom w:val="single" w:color="1F3A5F" w:sz="6" w:space="4"/>
        </w:pBdr>
        <w:spacing w:after="200" w:before="80"/>
      </w:pPr>
      <w:r>
        <w:t xml:space="preserve"/>
      </w:r>
    </w:p>
    <w:p>
      <w:pPr>
        <w:spacing w:after="120" w:before="0"/>
      </w:pPr>
      <w:r>
        <w:t xml:space="preserve">The product ships in three phases. Each phase is gated by validation milestones (see Section 4 success metrics).</w:t>
      </w:r>
    </w:p>
    <w:p>
      <w:pPr>
        <w:pStyle w:val="Heading2"/>
      </w:pPr>
      <w:r>
        <w:t xml:space="preserve">6.1 MVP (Phase 1) — Months 0–6</w:t>
      </w:r>
    </w:p>
    <w:p>
      <w:pPr>
        <w:spacing w:after="120" w:before="0"/>
      </w:pPr>
      <w:r>
        <w:t xml:space="preserve">Persona focus: non-EU master's student arriving in Munich, Berlin, or Stuttgart.</w:t>
      </w:r>
    </w:p>
    <w:p>
      <w:pPr>
        <w:spacing w:after="120" w:before="0"/>
      </w:pPr>
      <w:r>
        <w:t xml:space="preserve">Cities: Munich (KVR), Berlin (LEA + Bürgeramt), Stuttgart (Ausländerbehörde + Bürgerbüros).</w:t>
      </w:r>
    </w:p>
    <w:p>
      <w:pPr>
        <w:spacing w:after="120" w:before="0"/>
      </w:pPr>
      <w:r>
        <w:t xml:space="preserve">Lifecycle stages: pre-arrival (last 30 days), arrival (first 90 days), study lifecycle, residence-permit renewal.</w:t>
      </w:r>
    </w:p>
    <w:p>
      <w:pPr>
        <w:spacing w:after="120" w:before="0"/>
      </w:pPr>
      <w:r>
        <w:t xml:space="preserve">Core features (P0):</w:t>
      </w:r>
    </w:p>
    <w:p>
      <w:pPr>
        <w:pStyle w:val="ListParagraph"/>
        <w:numPr>
          <w:ilvl w:val="0"/>
          <w:numId w:val="2"/>
        </w:numPr>
        <w:spacing w:after="60"/>
      </w:pPr>
      <w:r>
        <w:t xml:space="preserve">Personalised Bureaucratic Sequencer — onboarding wizard producing dated task list.</w:t>
      </w:r>
    </w:p>
    <w:p>
      <w:pPr>
        <w:pStyle w:val="ListParagraph"/>
        <w:numPr>
          <w:ilvl w:val="0"/>
          <w:numId w:val="2"/>
        </w:numPr>
        <w:spacing w:after="60"/>
      </w:pPr>
      <w:r>
        <w:t xml:space="preserve">Document Vault with status tracking — apostille and sworn-translation flagging.</w:t>
      </w:r>
    </w:p>
    <w:p>
      <w:pPr>
        <w:pStyle w:val="ListParagraph"/>
        <w:numPr>
          <w:ilvl w:val="0"/>
          <w:numId w:val="2"/>
        </w:numPr>
        <w:spacing w:after="60"/>
      </w:pPr>
      <w:r>
        <w:t xml:space="preserve">Deadline Engine — push notifications at 90/60/30/14/7/1-day intervals.</w:t>
      </w:r>
    </w:p>
    <w:p>
      <w:pPr>
        <w:pStyle w:val="ListParagraph"/>
        <w:numPr>
          <w:ilvl w:val="0"/>
          <w:numId w:val="2"/>
        </w:numPr>
        <w:spacing w:after="60"/>
      </w:pPr>
      <w:r>
        <w:t xml:space="preserve">City-Specific Office Pages — current booking portals, last-known wait times, exact document lists.</w:t>
      </w:r>
    </w:p>
    <w:p>
      <w:pPr>
        <w:spacing w:after="120" w:before="0"/>
      </w:pPr>
      <w:r>
        <w:t xml:space="preserve">Monetisation hooks (P0):</w:t>
      </w:r>
    </w:p>
    <w:p>
      <w:pPr>
        <w:pStyle w:val="ListParagraph"/>
        <w:numPr>
          <w:ilvl w:val="0"/>
          <w:numId w:val="2"/>
        </w:numPr>
        <w:spacing w:after="60"/>
      </w:pPr>
      <w:r>
        <w:t xml:space="preserve">Sperrkonto provider comparator (Fintiba, Expatrio, Studely affiliate links).</w:t>
      </w:r>
    </w:p>
    <w:p>
      <w:pPr>
        <w:pStyle w:val="ListParagraph"/>
        <w:numPr>
          <w:ilvl w:val="0"/>
          <w:numId w:val="2"/>
        </w:numPr>
        <w:spacing w:after="60"/>
      </w:pPr>
      <w:r>
        <w:t xml:space="preserve">Health insurance selector (Feather, ottonova, public Krankenkassen partners).</w:t>
      </w:r>
    </w:p>
    <w:p>
      <w:pPr>
        <w:pStyle w:val="ListParagraph"/>
        <w:numPr>
          <w:ilvl w:val="0"/>
          <w:numId w:val="2"/>
        </w:numPr>
        <w:spacing w:after="60"/>
      </w:pPr>
      <w:r>
        <w:t xml:space="preserve">Furnished accommodation links (Wunderflats, HousingAnywhere, Coming Home Berlin affiliates).</w:t>
      </w:r>
    </w:p>
    <w:p>
      <w:pPr>
        <w:pStyle w:val="Heading2"/>
      </w:pPr>
      <w:r>
        <w:t xml:space="preserve">6.2 Phase 2 — Months 6–12</w:t>
      </w:r>
    </w:p>
    <w:p>
      <w:pPr>
        <w:spacing w:after="120" w:before="0"/>
      </w:pPr>
      <w:r>
        <w:t xml:space="preserve">Persona expansion: add Persona 1 (Blue Card worker) and Persona 4 (American spouse). Add Cologne, Düsseldorf, Frankfurt, Heidelberg, Karlsruhe, Darmstadt, Dortmund.</w:t>
      </w:r>
    </w:p>
    <w:p>
      <w:pPr>
        <w:spacing w:after="120" w:before="0"/>
      </w:pPr>
      <w:r>
        <w:t xml:space="preserve">Features (P1):</w:t>
      </w:r>
    </w:p>
    <w:p>
      <w:pPr>
        <w:pStyle w:val="ListParagraph"/>
        <w:numPr>
          <w:ilvl w:val="0"/>
          <w:numId w:val="2"/>
        </w:numPr>
        <w:spacing w:after="60"/>
      </w:pPr>
      <w:r>
        <w:t xml:space="preserve">Sworn-Translation Marketplace — pre-vetted translators, fixed pricing, 20–30% margin.</w:t>
      </w:r>
    </w:p>
    <w:p>
      <w:pPr>
        <w:pStyle w:val="ListParagraph"/>
        <w:numPr>
          <w:ilvl w:val="0"/>
          <w:numId w:val="2"/>
        </w:numPr>
        <w:spacing w:after="60"/>
      </w:pPr>
      <w:r>
        <w:t xml:space="preserve">Banking Decision Tree — nationality + tax status + visa to most-likely-to-accept banks.</w:t>
      </w:r>
    </w:p>
    <w:p>
      <w:pPr>
        <w:pStyle w:val="ListParagraph"/>
        <w:numPr>
          <w:ilvl w:val="0"/>
          <w:numId w:val="2"/>
        </w:numPr>
        <w:spacing w:after="60"/>
      </w:pPr>
      <w:r>
        <w:t xml:space="preserve">Apartment Companion — discrimination-aware templates, SCHUFA workarounds, affiliate integration.</w:t>
      </w:r>
    </w:p>
    <w:p>
      <w:pPr>
        <w:pStyle w:val="ListParagraph"/>
        <w:numPr>
          <w:ilvl w:val="0"/>
          <w:numId w:val="2"/>
        </w:numPr>
        <w:spacing w:after="60"/>
      </w:pPr>
      <w:r>
        <w:t xml:space="preserve">Anabin/ZAB Recognition Workflow — visual H+/H− interpretation, submission helper, timeline tracker.</w:t>
      </w:r>
    </w:p>
    <w:p>
      <w:pPr>
        <w:pStyle w:val="ListParagraph"/>
        <w:numPr>
          <w:ilvl w:val="0"/>
          <w:numId w:val="2"/>
        </w:numPr>
        <w:spacing w:after="60"/>
      </w:pPr>
      <w:r>
        <w:t xml:space="preserve">Family Reunification Module — embassy-specific timelines, A1 exemption, OLG-Befreiung detector.</w:t>
      </w:r>
    </w:p>
    <w:p>
      <w:pPr>
        <w:pStyle w:val="ListParagraph"/>
        <w:numPr>
          <w:ilvl w:val="0"/>
          <w:numId w:val="2"/>
        </w:numPr>
        <w:spacing w:after="60"/>
      </w:pPr>
      <w:r>
        <w:t xml:space="preserve">Untätigkeitsklage Trigger Coach — escalation guide and lawyer marketplace.</w:t>
      </w:r>
    </w:p>
    <w:p>
      <w:pPr>
        <w:pStyle w:val="ListParagraph"/>
        <w:numPr>
          <w:ilvl w:val="0"/>
          <w:numId w:val="2"/>
        </w:numPr>
        <w:spacing w:after="60"/>
      </w:pPr>
      <w:r>
        <w:t xml:space="preserve">Multilingual UI — English, German, Arabic, Hindi, Persian, Turkish.</w:t>
      </w:r>
    </w:p>
    <w:p>
      <w:pPr>
        <w:pStyle w:val="Heading2"/>
      </w:pPr>
      <w:r>
        <w:t xml:space="preserve">6.3 Phase 3 — Months 12–24</w:t>
      </w:r>
    </w:p>
    <w:p>
      <w:pPr>
        <w:spacing w:after="120" w:before="0"/>
      </w:pPr>
      <w:r>
        <w:t xml:space="preserve">Persona expansion: add Persona 3 (Syrian refugee), Persona 5 (Iranian Blue Card), Persona 6 (Ukrainian §24).</w:t>
      </w:r>
    </w:p>
    <w:p>
      <w:pPr>
        <w:spacing w:after="120" w:before="0"/>
      </w:pPr>
      <w:r>
        <w:t xml:space="preserve">Features (P2):</w:t>
      </w:r>
    </w:p>
    <w:p>
      <w:pPr>
        <w:pStyle w:val="ListParagraph"/>
        <w:numPr>
          <w:ilvl w:val="0"/>
          <w:numId w:val="2"/>
        </w:numPr>
        <w:spacing w:after="60"/>
      </w:pPr>
      <w:r>
        <w:t xml:space="preserve">Tax Filing Integration — partner referrals to Wundertax, Sorted, Accountable, MyExpatTaxes.</w:t>
      </w:r>
    </w:p>
    <w:p>
      <w:pPr>
        <w:pStyle w:val="ListParagraph"/>
        <w:numPr>
          <w:ilvl w:val="0"/>
          <w:numId w:val="2"/>
        </w:numPr>
        <w:spacing w:after="60"/>
      </w:pPr>
      <w:r>
        <w:t xml:space="preserve">Kita/School Finder — waitlist trackers, Welcome Class enrolment for non-German-speaking children.</w:t>
      </w:r>
    </w:p>
    <w:p>
      <w:pPr>
        <w:pStyle w:val="ListParagraph"/>
        <w:numPr>
          <w:ilvl w:val="0"/>
          <w:numId w:val="2"/>
        </w:numPr>
        <w:spacing w:after="60"/>
      </w:pPr>
      <w:r>
        <w:t xml:space="preserve">Citizenship Application Suite — Einbürgerungstest practice, B1 booking, document bundler.</w:t>
      </w:r>
    </w:p>
    <w:p>
      <w:pPr>
        <w:pStyle w:val="ListParagraph"/>
        <w:numPr>
          <w:ilvl w:val="0"/>
          <w:numId w:val="2"/>
        </w:numPr>
        <w:spacing w:after="60"/>
      </w:pPr>
      <w:r>
        <w:t xml:space="preserve">Driver's Licence Conversion Coach — country-by-country reciprocity, Fahrschule cost estimator.</w:t>
      </w:r>
    </w:p>
    <w:p>
      <w:pPr>
        <w:pStyle w:val="ListParagraph"/>
        <w:numPr>
          <w:ilvl w:val="0"/>
          <w:numId w:val="2"/>
        </w:numPr>
        <w:spacing w:after="60"/>
      </w:pPr>
      <w:r>
        <w:t xml:space="preserve">Marriage Workflow for Binational Couples — OLG-Befreiung guide, Vertrauensanwalt directory.</w:t>
      </w:r>
    </w:p>
    <w:p>
      <w:pPr>
        <w:pStyle w:val="ListParagraph"/>
        <w:numPr>
          <w:ilvl w:val="0"/>
          <w:numId w:val="2"/>
        </w:numPr>
        <w:spacing w:after="60"/>
      </w:pPr>
      <w:r>
        <w:t xml:space="preserve">Money Transfer Comparison — sanctions-aware routing for Iran, Afghanistan, Syria.</w:t>
      </w:r>
    </w:p>
    <w:p>
      <w:pPr>
        <w:pStyle w:val="ListParagraph"/>
        <w:numPr>
          <w:ilvl w:val="0"/>
          <w:numId w:val="2"/>
        </w:numPr>
        <w:spacing w:after="60"/>
      </w:pPr>
      <w:r>
        <w:t xml:space="preserve">Premium Concierge Chat — vetted human relocation experts at €30–€60/hour.</w:t>
      </w:r>
    </w:p>
    <w:p>
      <w:pPr>
        <w:pStyle w:val="ListParagraph"/>
        <w:numPr>
          <w:ilvl w:val="0"/>
          <w:numId w:val="2"/>
        </w:numPr>
        <w:spacing w:after="60"/>
      </w:pPr>
      <w:r>
        <w:t xml:space="preserve">B2B HR plans — multi-employee subscriptions for tech companies.</w:t>
      </w:r>
    </w:p>
    <w:p>
      <w:pPr>
        <w:pStyle w:val="Heading2"/>
      </w:pPr>
      <w:r>
        <w:t xml:space="preserve">6.4 Out of scope (across all phases unless re-prioritised)</w:t>
      </w:r>
    </w:p>
    <w:p>
      <w:pPr>
        <w:pStyle w:val="ListParagraph"/>
        <w:numPr>
          <w:ilvl w:val="0"/>
          <w:numId w:val="2"/>
        </w:numPr>
        <w:spacing w:after="60"/>
      </w:pPr>
      <w:r>
        <w:t xml:space="preserve">Submitting documents to German authorities on behalf of users.</w:t>
      </w:r>
    </w:p>
    <w:p>
      <w:pPr>
        <w:pStyle w:val="ListParagraph"/>
        <w:numPr>
          <w:ilvl w:val="0"/>
          <w:numId w:val="2"/>
        </w:numPr>
        <w:spacing w:after="60"/>
      </w:pPr>
      <w:r>
        <w:t xml:space="preserve">Operating an in-house insurance, banking, translation, or legal-advice business.</w:t>
      </w:r>
    </w:p>
    <w:p>
      <w:pPr>
        <w:pStyle w:val="ListParagraph"/>
        <w:numPr>
          <w:ilvl w:val="0"/>
          <w:numId w:val="2"/>
        </w:numPr>
        <w:spacing w:after="60"/>
      </w:pPr>
      <w:r>
        <w:t xml:space="preserve">Pre-arrival visa applications from outside Germany as the primary entry point (Helfa starts post-D-visa or at planning stage).</w:t>
      </w:r>
    </w:p>
    <w:p>
      <w:pPr>
        <w:pStyle w:val="ListParagraph"/>
        <w:numPr>
          <w:ilvl w:val="0"/>
          <w:numId w:val="2"/>
        </w:numPr>
        <w:spacing w:after="60"/>
      </w:pPr>
      <w:r>
        <w:t xml:space="preserve">Asylum-process casework (referred to NGOs with deep specialisation).</w:t>
      </w:r>
    </w:p>
    <w:p>
      <w:pPr>
        <w:pStyle w:val="ListParagraph"/>
        <w:numPr>
          <w:ilvl w:val="0"/>
          <w:numId w:val="2"/>
        </w:numPr>
        <w:spacing w:after="60"/>
      </w:pPr>
      <w:r>
        <w:t xml:space="preserve">Healthcare provider booking (Doctolib already serves this need).</w:t>
      </w:r>
    </w:p>
    <w:p>
      <w:r>
        <w:br w:type="page"/>
      </w:r>
    </w:p>
    <w:p>
      <w:pPr>
        <w:pStyle w:val="Heading1"/>
      </w:pPr>
      <w:r>
        <w:t xml:space="preserve">7. Feature Inventory</w:t>
      </w:r>
    </w:p>
    <w:p>
      <w:pPr>
        <w:pBdr>
          <w:bottom w:val="single" w:color="1F3A5F" w:sz="6" w:space="4"/>
        </w:pBdr>
        <w:spacing w:after="200" w:before="80"/>
      </w:pPr>
      <w:r>
        <w:t xml:space="preserve"/>
      </w:r>
    </w:p>
    <w:p>
      <w:pPr>
        <w:spacing w:after="120" w:before="0"/>
      </w:pPr>
      <w:r>
        <w:t xml:space="preserve">This section enumerates every feature across all phases, with priority and the persona(s) it serves. Each feature has a corresponding entry in the Functional Requirements Specification (FRS).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200"/>
        <w:gridCol w:w="1200"/>
        <w:gridCol w:w="1960"/>
      </w:tblGrid>
      <w:tr>
        <w:tc>
          <w:tcPr>
            <w:tcW w:type="dxa" w:w="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ID</w:t>
            </w:r>
          </w:p>
        </w:tc>
        <w:tc>
          <w:tcPr>
            <w:tcW w:type="dxa" w:w="4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Feature</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Phase</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Priority</w:t>
            </w:r>
          </w:p>
        </w:tc>
        <w:tc>
          <w:tcPr>
            <w:tcW w:type="dxa" w:w="1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Personas served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F-001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Onboarding wizard (nationality, city, visa, family)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F-002</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Personalised Bureaucratic Sequencer (dated task list)</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F-003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Document Vault with apostille + translation status tracking</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F-004</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Deadline Engine + push notifications</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F-005</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City office pages (Munich, Berlin, Stuttgart)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F-006</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Sperrkonto comparator (affiliate)</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Chiamaka, Arjun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F-007</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Health insurance selector (broker partner)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F-008</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Furnished accommodation links (affiliate)</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F-009</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Anmeldung guided form pre-fill</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F-010</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Tax-ID and bank-account onboarding sequence</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F-011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Multilingual UI: English (default) + German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MVP</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F-012</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Sworn-translation marketplace</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2</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P1</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All non-Germanic-language origins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F-013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Banking decision tree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2</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P1</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Sahar, Marwan, Rachel</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F-014</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Apartment companion + SCHUFA workarounds</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2</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P1</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All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F-015</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Anabin/ZAB recognition workflow</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2</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P1</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Arjun, Marwan, Olena</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F-016</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Family reunification module + embassy timelines</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2</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P1</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Arjun, Marwan, Sahar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F-017</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Untätigkeitsklage trigger coach + lawyer marketplace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2</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P1</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Berlin LEA users</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F-018</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Multilingual UI: Arabic, Hindi, Persian, Turkish</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2</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P1</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Marwan, Arjun, Sahar</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F-019</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Tax filing partner integration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Rachel, Arjun, Sahar</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F-020</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Kita/School finder</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Arjun, Olena, Marwan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F-021</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Citizenship application suite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Marwan, eligible 5-year residents</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F-022</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Driver's licence conversion coach</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All non-EU</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F-023</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Marriage workflow for binational couples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Rachel, Sahar, Marwan</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F-024</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Sanctions-aware money transfer comparison</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Sahar, Marwan, refugee personas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F-025</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Premium concierge chat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All paying users</w:t>
            </w:r>
          </w:p>
        </w:tc>
      </w:tr>
      <w:tr>
        <w:tc>
          <w:tcPr>
            <w:tcW w:type="dxa" w:w="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F-026</w:t>
            </w:r>
          </w:p>
        </w:tc>
        <w:tc>
          <w:tcPr>
            <w:tcW w:type="dxa" w:w="4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B2B HR multi-seat plans</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Corporate buyers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F-027</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Multilingual UI: French, Ukrainian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3</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Olena, Francophone Africans</w:t>
            </w:r>
          </w:p>
        </w:tc>
      </w:tr>
    </w:tbl>
    <w:p>
      <w:r>
        <w:br w:type="page"/>
      </w:r>
    </w:p>
    <w:p>
      <w:pPr>
        <w:pStyle w:val="Heading1"/>
      </w:pPr>
      <w:r>
        <w:t xml:space="preserve">8. User Journeys (Summary)</w:t>
      </w:r>
    </w:p>
    <w:p>
      <w:pPr>
        <w:pBdr>
          <w:bottom w:val="single" w:color="1F3A5F" w:sz="6" w:space="4"/>
        </w:pBdr>
        <w:spacing w:after="200" w:before="80"/>
      </w:pPr>
      <w:r>
        <w:t xml:space="preserve"/>
      </w:r>
    </w:p>
    <w:p>
      <w:pPr>
        <w:spacing w:after="120" w:before="0"/>
      </w:pPr>
      <w:r>
        <w:t xml:space="preserve">Five primary user journeys drive product design. Full visual flowcharts are produced as a separate deliverable; this section summarises each journey for PRD-level reference.</w:t>
      </w:r>
    </w:p>
    <w:p>
      <w:pPr>
        <w:pStyle w:val="Heading2"/>
      </w:pPr>
      <w:r>
        <w:t xml:space="preserve">8.1 Journey 1 — First-time student arrival</w:t>
      </w:r>
    </w:p>
    <w:p>
      <w:pPr>
        <w:spacing w:after="120" w:before="0"/>
      </w:pPr>
      <w:r>
        <w:t xml:space="preserve">Trigger: D-visa issued. Time horizon: 30 days pre-arrival to 90 days post-arrival.</w:t>
      </w:r>
    </w:p>
    <w:p>
      <w:pPr>
        <w:spacing w:after="120" w:before="0"/>
      </w:pPr>
      <w:r>
        <w:t xml:space="preserve">Stages: pre-departure document preparation (Sperrkonto, insurance, apostille, translation) → arrival in Germany → Anmeldung within 14 days → tax ID auto-issued → bank account → public health insurance → university enrolment → Ausländerbehörde appointment for residence permit → Rundfunkbeitrag exemption (if BAföG-eligible) → ongoing residence-permit renewal cycle.</w:t>
      </w:r>
    </w:p>
    <w:p>
      <w:pPr>
        <w:pStyle w:val="Heading2"/>
      </w:pPr>
      <w:r>
        <w:t xml:space="preserve">8.2 Journey 2 — Job-seeker visa to work visa transition</w:t>
      </w:r>
    </w:p>
    <w:p>
      <w:pPr>
        <w:spacing w:after="120" w:before="0"/>
      </w:pPr>
      <w:r>
        <w:t xml:space="preserve">Trigger: studies complete, or Chancenkarte issued. Time horizon: 12–18 months.</w:t>
      </w:r>
    </w:p>
    <w:p>
      <w:pPr>
        <w:spacing w:after="120" w:before="0"/>
      </w:pPr>
      <w:r>
        <w:t xml:space="preserve">Stages: §20 (graduate) or Chancenkarte permit issued → ZAB recognition status check → unrestricted job search with limited work allowance → contract signed → Blue Card or §18b application before permit expires → biometric appointment → eAT card delivered.</w:t>
      </w:r>
    </w:p>
    <w:p>
      <w:pPr>
        <w:pStyle w:val="Heading2"/>
      </w:pPr>
      <w:r>
        <w:t xml:space="preserve">8.3 Journey 3 — Visa renewal (Aufenthaltstitel verlängern)</w:t>
      </w:r>
    </w:p>
    <w:p>
      <w:pPr>
        <w:spacing w:after="120" w:before="0"/>
      </w:pPr>
      <w:r>
        <w:t xml:space="preserve">Trigger: residence permit expiry within 12 weeks. Time horizon: 8–12 weeks.</w:t>
      </w:r>
    </w:p>
    <w:p>
      <w:pPr>
        <w:spacing w:after="120" w:before="0"/>
      </w:pPr>
      <w:r>
        <w:t xml:space="preserve">Stages: city-specific portal access → document upload → wait for invitation → biometric appointment → Fiktionsbescheinigung if needed → eAT card delivered. Helfa monitors for authority silence and triggers Untätigkeitsklage escalation if no response within 3 months.</w:t>
      </w:r>
    </w:p>
    <w:p>
      <w:pPr>
        <w:pStyle w:val="Heading2"/>
      </w:pPr>
      <w:r>
        <w:t xml:space="preserve">8.4 Journey 4 — Family reunification (sponsor in Germany, family abroad)</w:t>
      </w:r>
    </w:p>
    <w:p>
      <w:pPr>
        <w:spacing w:after="120" w:before="0"/>
      </w:pPr>
      <w:r>
        <w:t xml:space="preserve">Trigger: sponsor wants to bring spouse, children, or parents. Time horizon: 6 months to 2 years.</w:t>
      </w:r>
    </w:p>
    <w:p>
      <w:pPr>
        <w:spacing w:after="120" w:before="0"/>
      </w:pPr>
      <w:r>
        <w:t xml:space="preserve">Stages: sponsor verifies eligibility (income, space, insurance) → A1 German check for spouse → document chain (marriage certificate apostilled and translated; OLG-Befreiung if non-issuing country) → embassy appointment booking (highest-volume bottleneck) → consular interview → visa issued → arrival → residence permit at Ausländerbehörde.</w:t>
      </w:r>
    </w:p>
    <w:p>
      <w:pPr>
        <w:pStyle w:val="Heading2"/>
      </w:pPr>
      <w:r>
        <w:t xml:space="preserve">8.5 Journey 5 — Path to permanent residency and citizenship</w:t>
      </w:r>
    </w:p>
    <w:p>
      <w:pPr>
        <w:spacing w:after="120" w:before="0"/>
      </w:pPr>
      <w:r>
        <w:t xml:space="preserve">Trigger: 3+ years residence (Blue Card) or 5 years (most others). Time horizon: years.</w:t>
      </w:r>
    </w:p>
    <w:p>
      <w:pPr>
        <w:spacing w:after="120" w:before="0"/>
      </w:pPr>
      <w:r>
        <w:t xml:space="preserve">Stages: Niederlassungserlaubnis eligibility check (residence duration, B1, pension months, financial independence) → Niederlassungserlaubnis application → continued residence to citizenship eligibility (5 years post-2024 reform) → Einbürgerungstest preparation → B1 test → application submission → Untätigkeitsklage if backlog exceeds 3 months.</w:t>
      </w:r>
    </w:p>
    <w:p>
      <w:r>
        <w:br w:type="page"/>
      </w:r>
    </w:p>
    <w:p>
      <w:pPr>
        <w:pStyle w:val="Heading1"/>
      </w:pPr>
      <w:r>
        <w:t xml:space="preserve">9. Information Architecture</w:t>
      </w:r>
    </w:p>
    <w:p>
      <w:pPr>
        <w:pBdr>
          <w:bottom w:val="single" w:color="1F3A5F" w:sz="6" w:space="4"/>
        </w:pBdr>
        <w:spacing w:after="200" w:before="80"/>
      </w:pPr>
      <w:r>
        <w:t xml:space="preserve"/>
      </w:r>
    </w:p>
    <w:p>
      <w:pPr>
        <w:spacing w:after="120" w:before="0"/>
      </w:pPr>
      <w:r>
        <w:t xml:space="preserve">Helfa's IA is time-based, not topic-based. The user's mental model is "what is due next," not "what topic do I want to read about." Five top-level sections drive the navigation.</w:t>
      </w:r>
    </w:p>
    <w:p>
      <w:pPr>
        <w:pStyle w:val="Heading2"/>
      </w:pPr>
      <w:r>
        <w:t xml:space="preserve">9.1 Top-level sections</w:t>
      </w:r>
    </w:p>
    <w:p>
      <w:pPr>
        <w:spacing w:after="120" w:before="0"/>
      </w:pPr>
      <w:r>
        <w:t xml:space="preserve">Section 1: My Journey — the personalised sequencer output. Time-ordered task list filtered by nationality, visa pathway, city, and family status. Each task carries status (upcoming, due, overdue, complete), document attachments, and a city-specific "what to bring" checklist. This is the primary loop.</w:t>
      </w:r>
    </w:p>
    <w:p>
      <w:pPr>
        <w:spacing w:after="120" w:before="0"/>
      </w:pPr>
      <w:r>
        <w:t xml:space="preserve">Section 2: My Documents — the vault. Folders by document type. Each document carries metadata: original/copy, apostille status, sworn-translation status, expiry date, last-used-for. Auto-flags surface document gaps before they become deadline emergencies.</w:t>
      </w:r>
    </w:p>
    <w:p>
      <w:pPr>
        <w:spacing w:after="120" w:before="0"/>
      </w:pPr>
      <w:r>
        <w:t xml:space="preserve">Section 3: Where to Go — the city directory. Top-level filter by city, with each city page listing its offices (Bürgeramt, Ausländerbehörde, Standesamt, Finanzamt, Familienkasse, Jobcenter, Wohnungsamt, Führerscheinstelle), their addresses, opening hours, current booking portals, last-known wait times, English-support level, and "what to bring" per common purpose.</w:t>
      </w:r>
    </w:p>
    <w:p>
      <w:pPr>
        <w:spacing w:after="120" w:before="0"/>
      </w:pPr>
      <w:r>
        <w:t xml:space="preserve">Section 4: Marketplace — the partner directory. Vetted partners by need: blocked accounts, insurance, housing, translation, tax, banking, legal, language, relocation. Transparent commission disclosure on every card.</w:t>
      </w:r>
    </w:p>
    <w:p>
      <w:pPr>
        <w:spacing w:after="120" w:before="0"/>
      </w:pPr>
      <w:r>
        <w:t xml:space="preserve">Section 5: Learn — the city + topic deep content surface. Articles by topic with city-specific variants and nationality-specific notes. This is the SEO-driven organic acquisition surface; it must not become the product. The product is the sequencer.</w:t>
      </w:r>
    </w:p>
    <w:p>
      <w:pPr>
        <w:pStyle w:val="Heading2"/>
      </w:pPr>
      <w:r>
        <w:t xml:space="preserve">9.2 Cross-cutting elements</w:t>
      </w:r>
    </w:p>
    <w:p>
      <w:pPr>
        <w:pStyle w:val="ListParagraph"/>
        <w:numPr>
          <w:ilvl w:val="0"/>
          <w:numId w:val="2"/>
        </w:numPr>
        <w:spacing w:after="60"/>
      </w:pPr>
      <w:r>
        <w:t xml:space="preserve">Persistent Deadline Banner at the top of every screen showing the next critical deadline.</w:t>
      </w:r>
    </w:p>
    <w:p>
      <w:pPr>
        <w:pStyle w:val="ListParagraph"/>
        <w:numPr>
          <w:ilvl w:val="0"/>
          <w:numId w:val="2"/>
        </w:numPr>
        <w:spacing w:after="60"/>
      </w:pPr>
      <w:r>
        <w:t xml:space="preserve">Help button on every task page: AI-assisted Q&amp;A → community Q&amp;A → concierge expert chat (paid).</w:t>
      </w:r>
    </w:p>
    <w:p>
      <w:pPr>
        <w:pStyle w:val="ListParagraph"/>
        <w:numPr>
          <w:ilvl w:val="0"/>
          <w:numId w:val="2"/>
        </w:numPr>
        <w:spacing w:after="60"/>
      </w:pPr>
      <w:r>
        <w:t xml:space="preserve">Push notifications and email digests as the retention engine.</w:t>
      </w:r>
    </w:p>
    <w:p>
      <w:pPr>
        <w:pStyle w:val="ListParagraph"/>
        <w:numPr>
          <w:ilvl w:val="0"/>
          <w:numId w:val="2"/>
        </w:numPr>
        <w:spacing w:after="60"/>
      </w:pPr>
      <w:r>
        <w:t xml:space="preserve">Locale switcher in profile (Phase 2: 6 languages; Phase 3: 8).</w:t>
      </w:r>
    </w:p>
    <w:p>
      <w:pPr>
        <w:pStyle w:val="Heading2"/>
      </w:pPr>
      <w:r>
        <w:t xml:space="preserve">9.3 Visual map</w:t>
      </w:r>
    </w:p>
    <w:p>
      <w:pPr>
        <w:spacing w:after="120" w:before="0"/>
      </w:pPr>
      <w:r>
        <w:rPr>
          <w:i/>
          <w:iCs/>
        </w:rPr>
        <w:t xml:space="preserve">A full IA diagram is produced as a separate deliverable; below is a compact textual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c>
          <w:tcPr>
            <w:tcW w:type="dxa" w:w="1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Section</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Primary screens</w:t>
            </w:r>
          </w:p>
        </w:tc>
        <w:tc>
          <w:tcPr>
            <w:tcW w:type="dxa" w:w="3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Secondary screens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My Journey</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Task list (default home), Task detail, Add task (manual)</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Completed archive, Skipped tasks</w:t>
            </w:r>
          </w:p>
        </w:tc>
      </w:tr>
      <w:tr>
        <w:tc>
          <w:tcPr>
            <w:tcW w:type="dxa" w:w="19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My Documents</w:t>
            </w:r>
          </w:p>
        </w:tc>
        <w:tc>
          <w:tcPr>
            <w:tcW w:type="dxa" w:w="4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Vault home, Document detail, Add document, Apostille/Translation status</w:t>
            </w:r>
          </w:p>
        </w:tc>
        <w:tc>
          <w:tcPr>
            <w:tcW w:type="dxa" w:w="34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Expired documents, Trash</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Where to Go</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City list, City page, Office detail, Booking redirect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Compare cities, City news (Phase 2)</w:t>
            </w:r>
          </w:p>
        </w:tc>
      </w:tr>
      <w:tr>
        <w:tc>
          <w:tcPr>
            <w:tcW w:type="dxa" w:w="19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Marketplace</w:t>
            </w:r>
          </w:p>
        </w:tc>
        <w:tc>
          <w:tcPr>
            <w:tcW w:type="dxa" w:w="4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Category list, Partner detail, Quote request, Affiliate redirect</w:t>
            </w:r>
          </w:p>
        </w:tc>
        <w:tc>
          <w:tcPr>
            <w:tcW w:type="dxa" w:w="34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Order history (Phase 2), Reviews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Learn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Topic list, Article, Topic + city variant, Topic + nationality variant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Search, Bookmarks, Reading history</w:t>
            </w:r>
          </w:p>
        </w:tc>
      </w:tr>
      <w:tr>
        <w:tc>
          <w:tcPr>
            <w:tcW w:type="dxa" w:w="19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Profile &amp; Settings</w:t>
            </w:r>
          </w:p>
        </w:tc>
        <w:tc>
          <w:tcPr>
            <w:tcW w:type="dxa" w:w="4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Profile, Locale, Notifications, Privacy, Subscription, Connected partners</w:t>
            </w:r>
          </w:p>
        </w:tc>
        <w:tc>
          <w:tcPr>
            <w:tcW w:type="dxa" w:w="34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Data export, Account deletion, Billing history</w:t>
            </w:r>
          </w:p>
        </w:tc>
      </w:tr>
    </w:tbl>
    <w:p>
      <w:r>
        <w:br w:type="page"/>
      </w:r>
    </w:p>
    <w:p>
      <w:pPr>
        <w:pStyle w:val="Heading1"/>
      </w:pPr>
      <w:r>
        <w:t xml:space="preserve">10. Monetisation Strategy</w:t>
      </w:r>
    </w:p>
    <w:p>
      <w:pPr>
        <w:pBdr>
          <w:bottom w:val="single" w:color="1F3A5F" w:sz="6" w:space="4"/>
        </w:pBdr>
        <w:spacing w:after="200" w:before="80"/>
      </w:pPr>
      <w:r>
        <w:t xml:space="preserve"/>
      </w:r>
    </w:p>
    <w:p>
      <w:pPr>
        <w:spacing w:after="120" w:before="0"/>
      </w:pPr>
      <w:r>
        <w:t xml:space="preserve">The defensible revenue stack mirrors the existing market but consolidates it under one trusted brand with transparent commission disclosures.</w:t>
      </w:r>
    </w:p>
    <w:p>
      <w:pPr>
        <w:pStyle w:val="Heading2"/>
      </w:pPr>
      <w:r>
        <w:t xml:space="preserve">10.1 Revenue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500"/>
        <w:gridCol w:w="3160"/>
      </w:tblGrid>
      <w:tr>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Tier</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Mechanism</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Phase</w:t>
            </w:r>
          </w:p>
        </w:tc>
        <w:tc>
          <w:tcPr>
            <w:tcW w:type="dxa" w:w="3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Indicative economics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 — recurring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Health insurance brokerage commission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MVP</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€100–€300/policy/year, recurring</w:t>
            </w:r>
          </w:p>
        </w:tc>
      </w:tr>
      <w:tr>
        <w:tc>
          <w:tcPr>
            <w:tcW w:type="dxa" w:w="1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B — transactional</w:t>
            </w:r>
          </w:p>
        </w:tc>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Sperrkonto referral; furnished housing affiliate; sworn-translation margin</w:t>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MVP / Phase 2</w:t>
            </w:r>
          </w:p>
        </w:tc>
        <w:tc>
          <w:tcPr>
            <w:tcW w:type="dxa" w:w="31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€15–€40 per Sperrkonto; 5–15% of housing service fee; 20–30% margin on €40–€80/page translation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 — subscription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Premium tier (advanced reminders, partner discounts, OLG-Befreiung detector, escalation coach)</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2</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€9.99/month or €99/year</w:t>
            </w:r>
          </w:p>
        </w:tc>
      </w:tr>
      <w:tr>
        <w:tc>
          <w:tcPr>
            <w:tcW w:type="dxa" w:w="1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D — lawyer marketplace</w:t>
            </w:r>
          </w:p>
        </w:tc>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Lead-gen fee on Visumklage / Untätigkeitsklage / family reunion appeals</w:t>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2</w:t>
            </w:r>
          </w:p>
        </w:tc>
        <w:tc>
          <w:tcPr>
            <w:tcW w:type="dxa" w:w="31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10–20% fee on €2,000–€4,000 cases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E — B2B HR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Multi-employee plans for German tech employers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Phase 3</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€2,000–€6,000 per employee/year</w:t>
            </w:r>
          </w:p>
        </w:tc>
      </w:tr>
      <w:tr>
        <w:tc>
          <w:tcPr>
            <w:tcW w:type="dxa" w:w="1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 — concierge</w:t>
            </w:r>
          </w:p>
        </w:tc>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Premium one-off complex cases (citizenship, family reunion, visa appeal triage)</w:t>
            </w:r>
          </w:p>
        </w:tc>
        <w:tc>
          <w:tcPr>
            <w:tcW w:type="dxa" w:w="15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Phase 3</w:t>
            </w:r>
          </w:p>
        </w:tc>
        <w:tc>
          <w:tcPr>
            <w:tcW w:type="dxa" w:w="31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€99–€299 per case</w:t>
            </w:r>
          </w:p>
        </w:tc>
      </w:tr>
    </w:tbl>
    <w:p>
      <w:pPr>
        <w:pStyle w:val="Heading2"/>
      </w:pPr>
      <w:r>
        <w:t xml:space="preserve">10.2 MVP pricing structure</w:t>
      </w:r>
    </w:p>
    <w:p>
      <w:pPr>
        <w:pStyle w:val="ListParagraph"/>
        <w:numPr>
          <w:ilvl w:val="0"/>
          <w:numId w:val="2"/>
        </w:numPr>
        <w:spacing w:after="60"/>
      </w:pPr>
      <w:r>
        <w:t xml:space="preserve">Free tier: Sequencer, Deadline Engine, City Pages, basic Document Vault, basic Marketplace browsing.</w:t>
      </w:r>
    </w:p>
    <w:p>
      <w:pPr>
        <w:pStyle w:val="ListParagraph"/>
        <w:numPr>
          <w:ilvl w:val="0"/>
          <w:numId w:val="2"/>
        </w:numPr>
        <w:spacing w:after="60"/>
      </w:pPr>
      <w:r>
        <w:t xml:space="preserve">Premium €9.99/month or €99/year: advanced reminders, partner-discount marketplace, OLG-Befreiung detector, Untätigkeitsklage coach, premium Document Vault with auto-translation flagging, locale-aware AI Q&amp;A.</w:t>
      </w:r>
    </w:p>
    <w:p>
      <w:pPr>
        <w:pStyle w:val="ListParagraph"/>
        <w:numPr>
          <w:ilvl w:val="0"/>
          <w:numId w:val="2"/>
        </w:numPr>
        <w:spacing w:after="60"/>
      </w:pPr>
      <w:r>
        <w:t xml:space="preserve">Concierge €99–€299: one-off complex cases handled by a vetted human partner (citizenship, family reunion, visa appeal).</w:t>
      </w:r>
    </w:p>
    <w:p>
      <w:pPr>
        <w:pStyle w:val="Heading2"/>
      </w:pPr>
      <w:r>
        <w:t xml:space="preserve">10.3 Transparency principles</w:t>
      </w:r>
    </w:p>
    <w:p>
      <w:pPr>
        <w:pStyle w:val="ListParagraph"/>
        <w:numPr>
          <w:ilvl w:val="0"/>
          <w:numId w:val="2"/>
        </w:numPr>
        <w:spacing w:after="60"/>
      </w:pPr>
      <w:r>
        <w:t xml:space="preserve">Every partner card discloses commission status ("Helfa earns a fee when you sign up" or "We earn nothing from this listing").</w:t>
      </w:r>
    </w:p>
    <w:p>
      <w:pPr>
        <w:pStyle w:val="ListParagraph"/>
        <w:numPr>
          <w:ilvl w:val="0"/>
          <w:numId w:val="2"/>
        </w:numPr>
        <w:spacing w:after="60"/>
      </w:pPr>
      <w:r>
        <w:t xml:space="preserve">Public partner-vetting criteria: licensing checks, response-time SLA, customer-satisfaction floor.</w:t>
      </w:r>
    </w:p>
    <w:p>
      <w:pPr>
        <w:pStyle w:val="ListParagraph"/>
        <w:numPr>
          <w:ilvl w:val="0"/>
          <w:numId w:val="2"/>
        </w:numPr>
        <w:spacing w:after="60"/>
      </w:pPr>
      <w:r>
        <w:t xml:space="preserve">Quarterly partner-audit publication summarising performance and any partner removals.</w:t>
      </w:r>
    </w:p>
    <w:p>
      <w:pPr>
        <w:pStyle w:val="ListParagraph"/>
        <w:numPr>
          <w:ilvl w:val="0"/>
          <w:numId w:val="2"/>
        </w:numPr>
        <w:spacing w:after="60"/>
      </w:pPr>
      <w:r>
        <w:t xml:space="preserve">No paid placement in the Sequencer itself — paid placement only in the Marketplace, clearly labelled.</w:t>
      </w:r>
    </w:p>
    <w:p>
      <w:r>
        <w:br w:type="page"/>
      </w:r>
    </w:p>
    <w:p>
      <w:pPr>
        <w:pStyle w:val="Heading1"/>
      </w:pPr>
      <w:r>
        <w:t xml:space="preserve">11. Compliance, Privacy &amp; Risk</w:t>
      </w:r>
    </w:p>
    <w:p>
      <w:pPr>
        <w:pBdr>
          <w:bottom w:val="single" w:color="1F3A5F" w:sz="6" w:space="4"/>
        </w:pBdr>
        <w:spacing w:after="200" w:before="80"/>
      </w:pPr>
      <w:r>
        <w:t xml:space="preserve"/>
      </w:r>
    </w:p>
    <w:p>
      <w:pPr>
        <w:pStyle w:val="Heading2"/>
      </w:pPr>
      <w:r>
        <w:t xml:space="preserve">11.1 Regulatory perimeter</w:t>
      </w:r>
    </w:p>
    <w:p>
      <w:pPr>
        <w:pStyle w:val="ListParagraph"/>
        <w:numPr>
          <w:ilvl w:val="0"/>
          <w:numId w:val="2"/>
        </w:numPr>
        <w:spacing w:after="60"/>
      </w:pPr>
      <w:r>
        <w:t xml:space="preserve">GDPR (Regulation EU 2016/679) and BDSG (Bundesdatenschutzgesetz) — full compliance required.</w:t>
      </w:r>
    </w:p>
    <w:p>
      <w:pPr>
        <w:pStyle w:val="ListParagraph"/>
        <w:numPr>
          <w:ilvl w:val="0"/>
          <w:numId w:val="2"/>
        </w:numPr>
        <w:spacing w:after="60"/>
      </w:pPr>
      <w:r>
        <w:t xml:space="preserve">Data residency: all production data stored in EU-based infrastructure (Frankfurt or Berlin AWS regions, or Hetzner).</w:t>
      </w:r>
    </w:p>
    <w:p>
      <w:pPr>
        <w:pStyle w:val="ListParagraph"/>
        <w:numPr>
          <w:ilvl w:val="0"/>
          <w:numId w:val="2"/>
        </w:numPr>
        <w:spacing w:after="60"/>
      </w:pPr>
      <w:r>
        <w:t xml:space="preserve">§34d GewO — insurance brokerage requires Erlaubnis from the IHK or operating exclusively under licensed partners.</w:t>
      </w:r>
    </w:p>
    <w:p>
      <w:pPr>
        <w:pStyle w:val="ListParagraph"/>
        <w:numPr>
          <w:ilvl w:val="0"/>
          <w:numId w:val="2"/>
        </w:numPr>
        <w:spacing w:after="60"/>
      </w:pPr>
      <w:r>
        <w:t xml:space="preserve">Rechtsdienstleistungsgesetz (RDG) — Helfa does not provide legal advice; legal questions route to licensed lawyers.</w:t>
      </w:r>
    </w:p>
    <w:p>
      <w:pPr>
        <w:pStyle w:val="ListParagraph"/>
        <w:numPr>
          <w:ilvl w:val="0"/>
          <w:numId w:val="2"/>
        </w:numPr>
        <w:spacing w:after="60"/>
      </w:pPr>
      <w:r>
        <w:t xml:space="preserve">Steuerberatungsgesetz (StBerG) — tax advice is licensed; Helfa partners with Steuerberater and licensed tax software (Wundertax, Sorted).</w:t>
      </w:r>
    </w:p>
    <w:p>
      <w:pPr>
        <w:pStyle w:val="Heading2"/>
      </w:pPr>
      <w:r>
        <w:t xml:space="preserve">11.2 Data minimisation</w:t>
      </w:r>
    </w:p>
    <w:p>
      <w:pPr>
        <w:spacing w:after="120" w:before="0"/>
      </w:pPr>
      <w:r>
        <w:t xml:space="preserve">Helfa collects the minimum data necessary to personalise journeys: nationality, city, visa pathway, family status, arrival date. Document storage is opt-in per document; users can use the app without uploading any documents.</w:t>
      </w:r>
    </w:p>
    <w:p>
      <w:pPr>
        <w:spacing w:after="120" w:before="0"/>
      </w:pPr>
      <w:r>
        <w:t xml:space="preserve">Sensitive data categories (health insurance plan, religious affiliation if relevant for Kirchensteuer, refugee status) are flagged in the data model and require explicit consent.</w:t>
      </w:r>
    </w:p>
    <w:p>
      <w:pPr>
        <w:pStyle w:val="Heading2"/>
      </w:pPr>
      <w:r>
        <w:t xml:space="preserve">11.3 Security baseline</w:t>
      </w:r>
    </w:p>
    <w:p>
      <w:pPr>
        <w:pStyle w:val="ListParagraph"/>
        <w:numPr>
          <w:ilvl w:val="0"/>
          <w:numId w:val="2"/>
        </w:numPr>
        <w:spacing w:after="60"/>
      </w:pPr>
      <w:r>
        <w:t xml:space="preserve">Encryption in transit (TLS 1.3) and at rest (AES-256).</w:t>
      </w:r>
    </w:p>
    <w:p>
      <w:pPr>
        <w:pStyle w:val="ListParagraph"/>
        <w:numPr>
          <w:ilvl w:val="0"/>
          <w:numId w:val="2"/>
        </w:numPr>
        <w:spacing w:after="60"/>
      </w:pPr>
      <w:r>
        <w:t xml:space="preserve">JWT-based session tokens with short expiry and refresh.</w:t>
      </w:r>
    </w:p>
    <w:p>
      <w:pPr>
        <w:pStyle w:val="ListParagraph"/>
        <w:numPr>
          <w:ilvl w:val="0"/>
          <w:numId w:val="2"/>
        </w:numPr>
        <w:spacing w:after="60"/>
      </w:pPr>
      <w:r>
        <w:t xml:space="preserve">Password hashing via Argon2id.</w:t>
      </w:r>
    </w:p>
    <w:p>
      <w:pPr>
        <w:pStyle w:val="ListParagraph"/>
        <w:numPr>
          <w:ilvl w:val="0"/>
          <w:numId w:val="2"/>
        </w:numPr>
        <w:spacing w:after="60"/>
      </w:pPr>
      <w:r>
        <w:t xml:space="preserve">Quarterly penetration tests post-launch.</w:t>
      </w:r>
    </w:p>
    <w:p>
      <w:pPr>
        <w:pStyle w:val="ListParagraph"/>
        <w:numPr>
          <w:ilvl w:val="0"/>
          <w:numId w:val="2"/>
        </w:numPr>
        <w:spacing w:after="60"/>
      </w:pPr>
      <w:r>
        <w:t xml:space="preserve">ISO 27001 alignment (full certification by Year 3).</w:t>
      </w:r>
    </w:p>
    <w:p>
      <w:pPr>
        <w:pStyle w:val="Heading2"/>
      </w:pPr>
      <w:r>
        <w:t xml:space="preserve">11.4 Top product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Likelihood</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Impact</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Mitigation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Authority data goes stale (booking URLs, document lists, fees)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High</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Monthly verification cycle; user-flag-broken-link feature; partner Local Editors per Bundesland in Phase 2</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Partner offers an unethical product or breaches SLA</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Medium</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High</w:t>
            </w:r>
          </w:p>
        </w:tc>
        <w:tc>
          <w:tcPr>
            <w:tcW w:type="dxa" w:w="3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Quarterly partner audit; Trustpilot monitoring; clear off-boarding criteria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Regulatory shift (e.g., further citizenship law revision)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Content versioning; dated articles; regulatory news subscription</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GDPR breach via partner integration</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Low</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Very High</w:t>
            </w:r>
          </w:p>
        </w:tc>
        <w:tc>
          <w:tcPr>
            <w:tcW w:type="dxa" w:w="3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Auftragsverarbeitungsverträge (AVVs) with every partner; minimal PII shared; opt-in data flow</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User mis-acts on outdated guidance and misses deadline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Very High</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Last-verified date on every guide; conservative deadline cushioning; in-app disclaimer</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Forum perception of Helfa as 'just another scam app'</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Medium</w:t>
            </w:r>
          </w:p>
        </w:tc>
        <w:tc>
          <w:tcPr>
            <w:tcW w:type="dxa" w:w="12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Medium</w:t>
            </w:r>
          </w:p>
        </w:tc>
        <w:tc>
          <w:tcPr>
            <w:tcW w:type="dxa" w:w="39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Transparent commission disclosure; community engagement on r/germany; partner with university international offices for endorsement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Competitor (Settly, Localyze) pivots to consumer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Medium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Brand moat in personalised consumer flow; partner exclusivity where possible</w:t>
            </w:r>
          </w:p>
        </w:tc>
      </w:tr>
    </w:tbl>
    <w:p>
      <w:r>
        <w:br w:type="page"/>
      </w:r>
    </w:p>
    <w:p>
      <w:pPr>
        <w:pStyle w:val="Heading1"/>
      </w:pPr>
      <w:r>
        <w:t xml:space="preserve">12. Assumptions, Dependencies, Constraints</w:t>
      </w:r>
    </w:p>
    <w:p>
      <w:pPr>
        <w:pBdr>
          <w:bottom w:val="single" w:color="1F3A5F" w:sz="6" w:space="4"/>
        </w:pBdr>
        <w:spacing w:after="200" w:before="80"/>
      </w:pPr>
      <w:r>
        <w:t xml:space="preserve"/>
      </w:r>
    </w:p>
    <w:p>
      <w:pPr>
        <w:pStyle w:val="Heading2"/>
      </w:pPr>
      <w:r>
        <w:t xml:space="preserve">12.1 Assumptions</w:t>
      </w:r>
    </w:p>
    <w:p>
      <w:pPr>
        <w:pStyle w:val="ListParagraph"/>
        <w:numPr>
          <w:ilvl w:val="0"/>
          <w:numId w:val="2"/>
        </w:numPr>
        <w:spacing w:after="60"/>
      </w:pPr>
      <w:r>
        <w:t xml:space="preserve">German immigration bureaucracy will remain decentralised at the city/state level for the foreseeable future.</w:t>
      </w:r>
    </w:p>
    <w:p>
      <w:pPr>
        <w:pStyle w:val="ListParagraph"/>
        <w:numPr>
          <w:ilvl w:val="0"/>
          <w:numId w:val="2"/>
        </w:numPr>
        <w:spacing w:after="60"/>
      </w:pPr>
      <w:r>
        <w:t xml:space="preserve">Government portals will not consolidate into a single national platform within MVP horizon.</w:t>
      </w:r>
    </w:p>
    <w:p>
      <w:pPr>
        <w:pStyle w:val="ListParagraph"/>
        <w:numPr>
          <w:ilvl w:val="0"/>
          <w:numId w:val="2"/>
        </w:numPr>
        <w:spacing w:after="60"/>
      </w:pPr>
      <w:r>
        <w:t xml:space="preserve">Partner verticals (Sperrkonto, insurance, translation, housing, legal) will continue to operate referral programs.</w:t>
      </w:r>
    </w:p>
    <w:p>
      <w:pPr>
        <w:pStyle w:val="ListParagraph"/>
        <w:numPr>
          <w:ilvl w:val="0"/>
          <w:numId w:val="2"/>
        </w:numPr>
        <w:spacing w:after="60"/>
      </w:pPr>
      <w:r>
        <w:t xml:space="preserve">Push notifications remain a viable retention engine on iOS and Android.</w:t>
      </w:r>
    </w:p>
    <w:p>
      <w:pPr>
        <w:pStyle w:val="ListParagraph"/>
        <w:numPr>
          <w:ilvl w:val="0"/>
          <w:numId w:val="2"/>
        </w:numPr>
        <w:spacing w:after="60"/>
      </w:pPr>
      <w:r>
        <w:t xml:space="preserve">Users will trust an English-default app that speaks plainly about German bureaucracy.</w:t>
      </w:r>
    </w:p>
    <w:p>
      <w:pPr>
        <w:pStyle w:val="Heading2"/>
      </w:pPr>
      <w:r>
        <w:t xml:space="preserve">12.2 Dependencies</w:t>
      </w:r>
    </w:p>
    <w:p>
      <w:pPr>
        <w:pStyle w:val="ListParagraph"/>
        <w:numPr>
          <w:ilvl w:val="0"/>
          <w:numId w:val="2"/>
        </w:numPr>
        <w:spacing w:after="60"/>
      </w:pPr>
      <w:r>
        <w:t xml:space="preserve">Stable affiliate relationships with at least three Sperrkonto providers, two insurance brokers, two housing portals, and one BDÜ-affiliated translator network for MVP launch.</w:t>
      </w:r>
    </w:p>
    <w:p>
      <w:pPr>
        <w:pStyle w:val="ListParagraph"/>
        <w:numPr>
          <w:ilvl w:val="0"/>
          <w:numId w:val="2"/>
        </w:numPr>
        <w:spacing w:after="60"/>
      </w:pPr>
      <w:r>
        <w:t xml:space="preserve">Up-to-date data on the city offices for the three MVP cities — sourced via monthly verification process.</w:t>
      </w:r>
    </w:p>
    <w:p>
      <w:pPr>
        <w:pStyle w:val="ListParagraph"/>
        <w:numPr>
          <w:ilvl w:val="0"/>
          <w:numId w:val="2"/>
        </w:numPr>
        <w:spacing w:after="60"/>
      </w:pPr>
      <w:r>
        <w:t xml:space="preserve">Mobile app distribution via the Apple App Store and Google Play Store.</w:t>
      </w:r>
    </w:p>
    <w:p>
      <w:pPr>
        <w:pStyle w:val="ListParagraph"/>
        <w:numPr>
          <w:ilvl w:val="0"/>
          <w:numId w:val="2"/>
        </w:numPr>
        <w:spacing w:after="60"/>
      </w:pPr>
      <w:r>
        <w:t xml:space="preserve">Backend hosting in EU-resident infrastructure.</w:t>
      </w:r>
    </w:p>
    <w:p>
      <w:pPr>
        <w:pStyle w:val="Heading2"/>
      </w:pPr>
      <w:r>
        <w:t xml:space="preserve">12.3 Constraints</w:t>
      </w:r>
    </w:p>
    <w:p>
      <w:pPr>
        <w:pStyle w:val="ListParagraph"/>
        <w:numPr>
          <w:ilvl w:val="0"/>
          <w:numId w:val="2"/>
        </w:numPr>
        <w:spacing w:after="60"/>
      </w:pPr>
      <w:r>
        <w:t xml:space="preserve">Solo founder + AI-augmented engineering during MVP. Scope must reflect this.</w:t>
      </w:r>
    </w:p>
    <w:p>
      <w:pPr>
        <w:pStyle w:val="ListParagraph"/>
        <w:numPr>
          <w:ilvl w:val="0"/>
          <w:numId w:val="2"/>
        </w:numPr>
        <w:spacing w:after="60"/>
      </w:pPr>
      <w:r>
        <w:t xml:space="preserve">Initial budget covers up to 12 months of runway at solo-founder economics.</w:t>
      </w:r>
    </w:p>
    <w:p>
      <w:pPr>
        <w:pStyle w:val="ListParagraph"/>
        <w:numPr>
          <w:ilvl w:val="0"/>
          <w:numId w:val="2"/>
        </w:numPr>
        <w:spacing w:after="60"/>
      </w:pPr>
      <w:r>
        <w:t xml:space="preserve">All copy must be reviewed for nationality-sensitive language before publication. Stereotyping or cultural insensitivity is a brand-risk red line.</w:t>
      </w:r>
    </w:p>
    <w:p>
      <w:pPr>
        <w:pStyle w:val="ListParagraph"/>
        <w:numPr>
          <w:ilvl w:val="0"/>
          <w:numId w:val="2"/>
        </w:numPr>
        <w:spacing w:after="60"/>
      </w:pPr>
      <w:r>
        <w:t xml:space="preserve">Helfa will not handle classified, secret, or government-internal data.</w:t>
      </w:r>
    </w:p>
    <w:p>
      <w:r>
        <w:br w:type="page"/>
      </w:r>
    </w:p>
    <w:p>
      <w:pPr>
        <w:pStyle w:val="Heading1"/>
      </w:pPr>
      <w:r>
        <w:t xml:space="preserve">13. Open Questions</w:t>
      </w:r>
    </w:p>
    <w:p>
      <w:pPr>
        <w:pBdr>
          <w:bottom w:val="single" w:color="1F3A5F" w:sz="6" w:space="4"/>
        </w:pBdr>
        <w:spacing w:after="200" w:before="80"/>
      </w:pPr>
      <w:r>
        <w:t xml:space="preserve"/>
      </w:r>
    </w:p>
    <w:p>
      <w:pPr>
        <w:spacing w:after="120" w:before="0"/>
      </w:pPr>
      <w:r>
        <w:t xml:space="preserve">These questions remain open at PRD v1.0 and require resolution before or during Phase 1 build.</w:t>
      </w:r>
    </w:p>
    <w:p>
      <w:pPr>
        <w:pStyle w:val="ListParagraph"/>
        <w:numPr>
          <w:ilvl w:val="0"/>
          <w:numId w:val="3"/>
        </w:numPr>
        <w:spacing w:after="60"/>
      </w:pPr>
      <w:r>
        <w:t xml:space="preserve">Brand name — "Helfa" is a working name. Final name decision pending: trademark availability check, domain availability, German pronunciation test.</w:t>
      </w:r>
    </w:p>
    <w:p>
      <w:pPr>
        <w:pStyle w:val="ListParagraph"/>
        <w:numPr>
          <w:ilvl w:val="0"/>
          <w:numId w:val="3"/>
        </w:numPr>
        <w:spacing w:after="60"/>
      </w:pPr>
      <w:r>
        <w:t xml:space="preserve">Mobile-first vs web-first launch — research suggests mobile-first for student persona, web-first for Blue Card persona. MVP defaults to mobile-first React Native; web companion in Phase 2.</w:t>
      </w:r>
    </w:p>
    <w:p>
      <w:pPr>
        <w:pStyle w:val="ListParagraph"/>
        <w:numPr>
          <w:ilvl w:val="0"/>
          <w:numId w:val="3"/>
        </w:numPr>
        <w:spacing w:after="60"/>
      </w:pPr>
      <w:r>
        <w:t xml:space="preserve">Free vs Premium feature split — current proposal isolates the OLG-Befreiung detector and Untätigkeitsklage coach behind Premium. Consider whether this hurts trust on highest-pain features for free-tier users.</w:t>
      </w:r>
    </w:p>
    <w:p>
      <w:pPr>
        <w:pStyle w:val="ListParagraph"/>
        <w:numPr>
          <w:ilvl w:val="0"/>
          <w:numId w:val="3"/>
        </w:numPr>
        <w:spacing w:after="60"/>
      </w:pPr>
      <w:r>
        <w:t xml:space="preserve">Partner exclusivity — should we negotiate exclusive deals with one Sperrkonto provider, one insurance broker, one translator network, in exchange for higher commission tiers? Versus best-of-breed comparison.</w:t>
      </w:r>
    </w:p>
    <w:p>
      <w:pPr>
        <w:pStyle w:val="ListParagraph"/>
        <w:numPr>
          <w:ilvl w:val="0"/>
          <w:numId w:val="3"/>
        </w:numPr>
        <w:spacing w:after="60"/>
      </w:pPr>
      <w:r>
        <w:t xml:space="preserve">German-language UI launch sequence — should the German UI be Phase 1 or Phase 2? Tradeoff between addressable market and engineering effort.</w:t>
      </w:r>
    </w:p>
    <w:p>
      <w:pPr>
        <w:pStyle w:val="ListParagraph"/>
        <w:numPr>
          <w:ilvl w:val="0"/>
          <w:numId w:val="3"/>
        </w:numPr>
        <w:spacing w:after="60"/>
      </w:pPr>
      <w:r>
        <w:t xml:space="preserve">Anonymous vs authenticated browsing — should Sequencer outputs be available without sign-up, gated only by Save &amp; Reminder features?</w:t>
      </w:r>
    </w:p>
    <w:p>
      <w:pPr>
        <w:pStyle w:val="ListParagraph"/>
        <w:numPr>
          <w:ilvl w:val="0"/>
          <w:numId w:val="3"/>
        </w:numPr>
        <w:spacing w:after="60"/>
      </w:pPr>
      <w:r>
        <w:t xml:space="preserve">Data residency for documents — local-first (encrypted on device) vs server-side (encrypted at rest in EU). Tradeoff between recovery, multi-device sync, and pure privacy.</w:t>
      </w:r>
    </w:p>
    <w:p>
      <w:pPr>
        <w:pStyle w:val="ListParagraph"/>
        <w:numPr>
          <w:ilvl w:val="0"/>
          <w:numId w:val="3"/>
        </w:numPr>
        <w:spacing w:after="60"/>
      </w:pPr>
      <w:r>
        <w:t xml:space="preserve">AI Q&amp;A — build in-house with retrieval over our content, or partner with an existing legal-AI provider? Cost, accuracy, and brand-trust implications.</w:t>
      </w:r>
    </w:p>
    <w:p>
      <w:pPr>
        <w:pStyle w:val="ListParagraph"/>
        <w:numPr>
          <w:ilvl w:val="0"/>
          <w:numId w:val="3"/>
        </w:numPr>
        <w:spacing w:after="60"/>
      </w:pPr>
      <w:r>
        <w:t xml:space="preserve">Concierge supply — vetted human partners (community-sourced) versus in-house contractors. Quality control versus margin.</w:t>
      </w:r>
    </w:p>
    <w:p>
      <w:pPr>
        <w:pStyle w:val="ListParagraph"/>
        <w:numPr>
          <w:ilvl w:val="0"/>
          <w:numId w:val="3"/>
        </w:numPr>
        <w:spacing w:after="60"/>
      </w:pPr>
      <w:r>
        <w:t xml:space="preserve">Localisation budget — translating into Arabic, Persian, Hindi, Turkish requires native-speaker sworn editors; cost ~€10K–€30K per language for full-app translation.</w:t>
      </w:r>
    </w:p>
    <w:p>
      <w:r>
        <w:br w:type="page"/>
      </w:r>
    </w:p>
    <w:p>
      <w:pPr>
        <w:pStyle w:val="Heading1"/>
      </w:pPr>
      <w:r>
        <w:t xml:space="preserve">14. Glossary</w:t>
      </w:r>
    </w:p>
    <w:p>
      <w:pPr>
        <w:pBdr>
          <w:bottom w:val="single" w:color="1F3A5F" w:sz="6" w:space="4"/>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Term</w:t>
            </w:r>
          </w:p>
        </w:tc>
        <w:tc>
          <w:tcPr>
            <w:tcW w:type="dxa" w:w="6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Definition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Anmeldung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Registration of address at the local Bürgeramt; required within 14 days of moving in.</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Aufenthaltsgesetz (AufenthG)</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Federal Residence Act governing residence permits.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Aufenthaltstitel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Residence permit (general term).</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Aufenthaltstitel verlängern</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Renewal of residence permit.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Ausländerbehörde / Auslanderbehörde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Local immigration office issuing and renewing residence permits.</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BAföG</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Federal student financial aid; eligibility affects GEZ exemption.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Blue Card EU</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Residence permit for highly qualified non-EU workers, salary thresholds set annually.</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Bürgeramt / Bürgerbüro</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Citizens' office handling Anmeldung, ID cards, etc.</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Bürgergeld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Citizen's allowance (replaced Hartz IV in 2023).</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Chancenkarte</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Opportunity Card; points-based job-seeker visa launched June 2024.</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eAT (elektronischer Aufenthaltstitel)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Electronic residence permit card.</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Ehefähigkeitszeugnis</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Certificate of no impediment to marriage.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Einbürgerung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Naturalisation (German citizenship application).</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Einbürgerungstest</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Naturalisation test (33 questions, must pass 17).</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Fiktionsbescheinigung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Provisional residence permit issued when renewal cannot be processed before expiry.</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GEZ / Rundfunkbeitrag</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Public broadcasting fee (€18.36/month per household in 2026).</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JAEG</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Jahresarbeitsentgeltgrenze; income threshold for opting into private health insurance (€77,400 in 2026).</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KVR</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Kreisverwaltungsreferat; Munich's central administrative authority including Ausländerbehörde.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LEA</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Landesamt für Einwanderung; Berlin's centralised immigration authority.</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Mietkautionsversicherung</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Rental deposit insurance (alternative to cash deposit).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Niederlassungserlaubnis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Settlement permit (permanent residency).</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OLG-Befreiung</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Exemption from Ehefähigkeitszeugnis granted by an Oberlandesgericht.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Sachstandsanfrage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Status request to an authority before filing Untätigkeitsklage.</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SCHUFA</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Germany's main consumer credit-reference agency.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Sperrkonto</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Blocked account holding €11,904 (2026) for student visa proof of funds.</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Standesamt</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Civil registry office handling marriages, births, deaths.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Steuer-ID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Tax identification number, issued automatically after Anmeldung.</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Untätigkeitsklage</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Lawsuit filed against an authority for failing to act within reasonable time (typically 3 months).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Vertrauensanwalt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Trust lawyer accredited by a German embassy to verify foreign documents.</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ZAB</w:t>
            </w:r>
          </w:p>
        </w:tc>
        <w:tc>
          <w:tcPr>
            <w:tcW w:type="dxa" w:w="6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Zentralstelle für ausländisches Bildungswesen; central office for foreign credential evaluation.</w:t>
            </w:r>
          </w:p>
        </w:tc>
      </w:tr>
    </w:tbl>
    <w:p>
      <w:r>
        <w:br w:type="page"/>
      </w:r>
    </w:p>
    <w:p>
      <w:pPr>
        <w:pStyle w:val="Heading1"/>
      </w:pPr>
      <w:r>
        <w:t xml:space="preserve">15. Document Control</w:t>
      </w:r>
    </w:p>
    <w:p>
      <w:pPr>
        <w:pBdr>
          <w:bottom w:val="single" w:color="1F3A5F" w:sz="6" w:space="4"/>
        </w:pBdr>
        <w:spacing w:after="200" w:before="80"/>
      </w:pPr>
      <w:r>
        <w:t xml:space="preserve"/>
      </w:r>
    </w:p>
    <w:p>
      <w:pPr>
        <w:pStyle w:val="Heading2"/>
      </w:pPr>
      <w:r>
        <w:t xml:space="preserve">15.1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Date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Author</w:t>
            </w:r>
          </w:p>
        </w:tc>
        <w:tc>
          <w:tcPr>
            <w:tcW w:type="dxa" w:w="3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Summary of change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April 2026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Philip Olaomo</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Initial draft based on April 2026 research report; full vision; hybrid tone</w:t>
            </w:r>
          </w:p>
        </w:tc>
      </w:tr>
    </w:tbl>
    <w:p>
      <w:pPr>
        <w:pStyle w:val="Heading2"/>
      </w:pPr>
      <w:r>
        <w:t xml:space="preserve">15.2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Role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Name</w:t>
            </w:r>
          </w:p>
        </w:tc>
        <w:tc>
          <w:tcPr>
            <w:tcW w:type="dxa" w:w="3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Status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Product owner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Philip Olaomo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Author</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Engineering lead</w:t>
            </w:r>
          </w:p>
        </w:tc>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(TBD)</w:t>
            </w:r>
          </w:p>
        </w:tc>
        <w:tc>
          <w:tcPr>
            <w:tcW w:type="dxa" w:w="3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Pending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Design lead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(TBD)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1F1F1F"/>
                <w:sz w:val="20"/>
                <w:szCs w:val="20"/>
              </w:rPr>
              <w:t xml:space="preserve">Pending</w:t>
            </w:r>
          </w:p>
        </w:tc>
      </w:tr>
      <w:tr>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Legal review (DPO)</w:t>
            </w:r>
          </w:p>
        </w:tc>
        <w:tc>
          <w:tcPr>
            <w:tcW w:type="dxa" w:w="30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(TBD)</w:t>
            </w:r>
          </w:p>
        </w:tc>
        <w:tc>
          <w:tcPr>
            <w:tcW w:type="dxa" w:w="33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color w:val="1F1F1F"/>
                <w:sz w:val="20"/>
                <w:szCs w:val="20"/>
              </w:rPr>
              <w:t xml:space="preserve">Pending</w:t>
            </w:r>
          </w:p>
        </w:tc>
      </w:tr>
    </w:tbl>
    <w:p>
      <w:pPr>
        <w:pStyle w:val="Heading2"/>
      </w:pPr>
      <w:r>
        <w:t xml:space="preserve">15.3 Companion documents</w:t>
      </w:r>
    </w:p>
    <w:p>
      <w:pPr>
        <w:pStyle w:val="ListParagraph"/>
        <w:numPr>
          <w:ilvl w:val="0"/>
          <w:numId w:val="2"/>
        </w:numPr>
        <w:spacing w:after="60"/>
      </w:pPr>
      <w:r>
        <w:t xml:space="preserve">User Journey Flowcharts (next deliverable)</w:t>
      </w:r>
    </w:p>
    <w:p>
      <w:pPr>
        <w:pStyle w:val="ListParagraph"/>
        <w:numPr>
          <w:ilvl w:val="0"/>
          <w:numId w:val="2"/>
        </w:numPr>
        <w:spacing w:after="60"/>
      </w:pPr>
      <w:r>
        <w:t xml:space="preserve">Use Cases (UC-001 through UC-NN)</w:t>
      </w:r>
    </w:p>
    <w:p>
      <w:pPr>
        <w:pStyle w:val="ListParagraph"/>
        <w:numPr>
          <w:ilvl w:val="0"/>
          <w:numId w:val="2"/>
        </w:numPr>
        <w:spacing w:after="60"/>
      </w:pPr>
      <w:r>
        <w:t xml:space="preserve">Functional Requirements Specification (FRS)</w:t>
      </w:r>
    </w:p>
    <w:p>
      <w:pPr>
        <w:pStyle w:val="ListParagraph"/>
        <w:numPr>
          <w:ilvl w:val="0"/>
          <w:numId w:val="2"/>
        </w:numPr>
        <w:spacing w:after="60"/>
      </w:pPr>
      <w:r>
        <w:t xml:space="preserve">Non-Functional Requirements (NFR)</w:t>
      </w:r>
    </w:p>
    <w:p>
      <w:pPr>
        <w:pStyle w:val="ListParagraph"/>
        <w:numPr>
          <w:ilvl w:val="0"/>
          <w:numId w:val="2"/>
        </w:numPr>
        <w:spacing w:after="60"/>
      </w:pPr>
      <w:r>
        <w:t xml:space="preserve">Wireframes / Mockups</w:t>
      </w:r>
    </w:p>
    <w:p>
      <w:pPr>
        <w:pStyle w:val="ListParagraph"/>
        <w:numPr>
          <w:ilvl w:val="0"/>
          <w:numId w:val="2"/>
        </w:numPr>
        <w:spacing w:after="60"/>
      </w:pPr>
      <w:r>
        <w:t xml:space="preserve">Domain Model + API Specification</w:t>
      </w:r>
    </w:p>
    <w:p>
      <w:pPr>
        <w:pStyle w:val="ListParagraph"/>
        <w:numPr>
          <w:ilvl w:val="0"/>
          <w:numId w:val="2"/>
        </w:numPr>
        <w:spacing w:after="60"/>
      </w:pPr>
      <w:r>
        <w:t xml:space="preserve">Test Plan + Test Cases</w:t>
      </w:r>
    </w:p>
    <w:p>
      <w:pPr>
        <w:pStyle w:val="ListParagraph"/>
        <w:numPr>
          <w:ilvl w:val="0"/>
          <w:numId w:val="2"/>
        </w:numPr>
        <w:spacing w:after="60"/>
      </w:pPr>
      <w:r>
        <w:t xml:space="preserve">Migration Plan (from current Spring Boot codebase)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Helfa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5984"/>
      <w:sz w:val="24"/>
      <w:szCs w:val="24"/>
    </w:rPr>
  </w:style>
  <w:style w:type="paragraph" w:styleId="Heading4">
    <w:name w:val="Heading 4"/>
    <w:basedOn w:val="Normal"/>
    <w:next w:val="Normal"/>
    <w:qFormat/>
    <w:pPr>
      <w:spacing w:after="80" w:before="12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Helfa — Product Requirements Document v1.0</dc:title>
  <dc:creator>Philip Olaomo</dc:creator>
  <dc:description>PRD for Helfa, an immigration &amp; bureaucracy companion for international residents in Germany.</dc:description>
  <cp:lastModifiedBy>Un-named</cp:lastModifiedBy>
  <cp:revision>1</cp:revision>
  <dcterms:created xsi:type="dcterms:W3CDTF">2026-04-27T22:46:45.834Z</dcterms:created>
  <dcterms:modified xsi:type="dcterms:W3CDTF">2026-04-27T22:46:45.835Z</dcterms:modified>
</cp:coreProperties>
</file>

<file path=docProps/custom.xml><?xml version="1.0" encoding="utf-8"?>
<Properties xmlns="http://schemas.openxmlformats.org/officeDocument/2006/custom-properties" xmlns:vt="http://schemas.openxmlformats.org/officeDocument/2006/docPropsVTypes"/>
</file>