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28"/>
          <w:szCs w:val="28"/>
        </w:rPr>
        <w:t xml:space="preserve">FUNCTIONAL &amp; NON-FUNCTIONAL REQUIREMENTS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Engineering-grade requirements specification (FRS + NFR)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Functional &amp; Non-Functional Requirements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Functional requirements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47 (FR-001 to FR-047)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Non-functional requirements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32 (NFR-001 to NFR-032)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PRD v1.0; Use Cases v1.0; User Journey Flowcharts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Introduction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00" w:before="0"/>
      </w:pPr>
      <w:r>
        <w:t xml:space="preserve">This document specifies the functional and non-functional requirements for [BRAND]. It complements the PRD (which defines what we build and why) and the Use Cases (which define how users interact with the system). Engineering teams build directly from this specification.</w:t>
      </w:r>
    </w:p>
    <w:p>
      <w:pPr>
        <w:pStyle w:val="Heading2"/>
      </w:pPr>
      <w:r>
        <w:t xml:space="preserve">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requirements (FR-NNN): describe what the system must do. Each is testable and traceable to a feature in the PRD and to one or more use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Non-functional requirements (NFR-NNN): describe how the system must behave — performance, security, scalability, accessibility, compliance, operability.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levels: P0 (MVP critical), P1 (Phase 2), P2 (Phase 3 / future).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requirement has acceptance criteria written in Given/When/Then form where relevant.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columns link each requirement back to features (F-NNN) from the PRD feature inventory and use cases (UC-NNN).</w:t>
      </w:r>
    </w:p>
    <w:p>
      <w:pPr>
        <w:pStyle w:val="Heading2"/>
      </w:pPr>
      <w:r>
        <w:t xml:space="preserve">Requirement template</w:t>
      </w:r>
    </w:p>
    <w:p>
      <w:pPr>
        <w:spacing w:after="100" w:before="0"/>
      </w:pPr>
      <w:r>
        <w:t xml:space="preserve">Each functional requirement follows this structure: ID, title, description, priority, related feature, related use case, acceptance criteria. Non-functional requirements include category, target metric, measurement approach, and rationale.</w:t>
      </w:r>
    </w:p>
    <w:p>
      <w:pPr>
        <w:pStyle w:val="Heading2"/>
      </w:pPr>
      <w: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MVP (P0)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FR-001 to FR-027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Onboarding, Sequencer, Document Vault, Deadline Engine, City Pages, Marketplace MVP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Phase 2 (P1)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FR-028 to FR-040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Translation marketplace, banking, ZAB, family reunification, escalation, Premium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Phase 3 (P2)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FR-041 to FR-047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Concierge, citizenship, driving licence, tax filing, Kita, money transfer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Functional Requirements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FR-001 to FR-011 — Onboarding &amp; Profile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FR-001 — Account creation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F-001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UC-001</w:t>
      </w:r>
    </w:p>
    <w:p>
      <w:pPr>
        <w:spacing w:after="80" w:before="0"/>
      </w:pPr>
      <w:r>
        <w:t xml:space="preserve">The system shall allow a user to create an account using email/password or phone+OTP.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 new user, when they enter a unique email and a strong password, then an account is created and a verification email is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an email already in use, when the user attempts to register, then the system shows an error and offers a sign-in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hashed with Argon2id; raw passwords are never stored or logged.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FR-002 — Onboarding wizard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F-001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UC-001</w:t>
      </w:r>
    </w:p>
    <w:p>
      <w:pPr>
        <w:spacing w:after="80" w:before="0"/>
      </w:pPr>
      <w:r>
        <w:t xml:space="preserve">The system shall present a 6-step onboarding wizard collecting language, nationality, current location, visa pathway, family status, and arrival timeline.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6 steps are completable in under 3 minutes for a typical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step is independently saveable; aborting and resuming preserves progress for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Visa pathway selector includes: Student, Job-seeker, Blue Card / Skilled Worker, Family reunification, Chancenkarte, Refugee §24/§25, Permanent residence, Other.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FR-003 — Geolocation with manual fallback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F-001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UC-001 (alt 1a, 1b)</w:t>
      </w:r>
    </w:p>
    <w:p>
      <w:pPr>
        <w:spacing w:after="80" w:before="0"/>
      </w:pPr>
      <w:r>
        <w:t xml:space="preserve">The system shall request geolocation to detect city, with a manual city picker as fallback.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user grants permission, when location resolves to a supported city, then that city is pre-selected.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the user denies permission OR resolution fails, when the wizard reaches the city step, then a manual picker is shown with supported cities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user is in an unsupported city, they receive a degraded-experience banner explaining limited city-specific guidance.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FR-004 — Personalised task list generation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UC-001, UC-002</w:t>
      </w:r>
    </w:p>
    <w:p>
      <w:pPr>
        <w:spacing w:after="80" w:before="0"/>
      </w:pPr>
      <w:r>
        <w:t xml:space="preserve">The system shall generate a personalised, dated task list based on the user profile (nationality, city, visa pathway, family, timeline).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list is generated within 2 seconds of profile completion (P95 latency).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task carries: title, description, due date, status, document requirements, estimated effort,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supports at least 200 distinct tasks across all profile combinations at MVP.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FR-005 — View task list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UC-002</w:t>
      </w:r>
    </w:p>
    <w:p>
      <w:pPr>
        <w:spacing w:after="80" w:before="0"/>
      </w:pPr>
      <w:r>
        <w:t xml:space="preserve">The system shall display the task list segmented into Due now, Upcoming, and Completed.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are sorted by due date ascending; ties broken by priority (legal &gt; administrative &gt;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most urgent task is visually highlighted at the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tasks are de-emphasised but visible for 30 days; older completions move to an archive.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FR-006 — Filter and search tasks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UC-002</w:t>
      </w:r>
    </w:p>
    <w:p>
      <w:pPr>
        <w:spacing w:after="80" w:before="0"/>
      </w:pPr>
      <w:r>
        <w:t xml:space="preserve">The system shall allow users to filter tasks by status, document requirement, city office, and search by keyword.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actions update the visible list within 200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filter results show a helpful empty state with reset CTA.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FR-007 — View task detail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UC-002, UC-003</w:t>
      </w:r>
    </w:p>
    <w:p>
      <w:pPr>
        <w:spacing w:after="80" w:before="0"/>
      </w:pPr>
      <w:r>
        <w:t xml:space="preserve">The system shall provide a task detail screen with full description, what to bring, where to go, deadline, document attachments, and the next action button.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task detail includes a city-specific document checklist.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documents from the vault are shown with status badges.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task is tied to an authority appointment, the booking link is visible at the top.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FR-008 — Mark task complete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UC-003</w:t>
      </w:r>
    </w:p>
    <w:p>
      <w:pPr>
        <w:spacing w:after="80" w:before="0"/>
      </w:pPr>
      <w:r>
        <w:t xml:space="preserve">The system shall allow users to mark a task complete or revert to incomplete.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timestamp is recorded.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 tasks are updated within 1 second of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legal-deadline tasks require a confirmation dialog before marking complete.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FR-009 — Add manual task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UC-002</w:t>
      </w:r>
    </w:p>
    <w:p>
      <w:pPr>
        <w:spacing w:after="80" w:before="0"/>
      </w:pPr>
      <w:r>
        <w:t xml:space="preserve">The system shall allow users to add manual tasks to their journey.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tasks accept title, description, due date, and document attachments.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tasks are visually distinguished from system-generated tasks.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FR-010 — Document vault — upload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F-003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UC-004</w:t>
      </w:r>
    </w:p>
    <w:p>
      <w:pPr>
        <w:spacing w:after="80" w:before="0"/>
      </w:pPr>
      <w:r>
        <w:t xml:space="preserve">The system shall allow users to upload documents up to 10 MB in PDF, JPEG, PNG, or DOCX format.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exceeding 10 MB are rejected with a helpful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Disallowed content types are rejected with a list of allowed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capture is supported on mobile with edge-detection auto-crop.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FR-011 — Document metadata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F-003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UC-004</w:t>
      </w:r>
    </w:p>
    <w:p>
      <w:pPr>
        <w:spacing w:after="80" w:before="0"/>
      </w:pPr>
      <w:r>
        <w:t xml:space="preserve">The system shall capture metadata for each document: type, original/copy flag, apostille status, sworn translation status, expiry date.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type is selected from a controlled vocabulary of 12+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Expiry-sensitive document types (passport, residence permit, biometric photo) require an expiry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can be tagged metadata-only (no file uploaded).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FR-012 to FR-018 — Document Vault, Deadlines, City Pages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FR-012 — Document expiry alerts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F-003, F-004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UC-004, UC-005</w:t>
      </w:r>
    </w:p>
    <w:p>
      <w:pPr>
        <w:spacing w:after="80" w:before="0"/>
      </w:pPr>
      <w:r>
        <w:t xml:space="preserve">The system shall alert users 90, 60, 30, 14, and 7 days before any document expires.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respect user notification preferences and quiet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flags documents that may be rejected by an authority (e.g., birth certificate older than 6 months).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FR-013 — Document soft delete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F-003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UC-004</w:t>
      </w:r>
    </w:p>
    <w:p>
      <w:pPr>
        <w:spacing w:after="80" w:before="0"/>
      </w:pPr>
      <w:r>
        <w:t xml:space="preserve">The system shall implement soft delete for documents (recoverable for 30 days).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Soft-deleted documents are hidden but recoverable within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30 days, soft-deleted documents are permanently purged.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FR-014 — Deadline engine — scheduling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F-004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UC-005</w:t>
      </w:r>
    </w:p>
    <w:p>
      <w:pPr>
        <w:spacing w:after="80" w:before="0"/>
      </w:pPr>
      <w:r>
        <w:t xml:space="preserve">The system shall schedule deadline reminders at 90, 60, 30, 14, 7, and 1 days before each task deadline.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threshold fires at most once per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Reminders are computed in the user's local timezone.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deadlines (legal residence permit) override quiet hours after explicit user opt-in.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FR-015 — Multi-channel delivery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F-004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UC-005</w:t>
      </w:r>
    </w:p>
    <w:p>
      <w:pPr>
        <w:spacing w:after="80" w:before="0"/>
      </w:pPr>
      <w:r>
        <w:t xml:space="preserve">The system shall deliver reminders via push notification, email, or both, per user preference.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opt in/out of channels per task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fallbacks to email if push token is invalid.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digest mode: users can choose daily summary instead of individual sends.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FR-016 — City office directory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UC-006</w:t>
      </w:r>
    </w:p>
    <w:p>
      <w:pPr>
        <w:spacing w:after="80" w:before="0"/>
      </w:pPr>
      <w:r>
        <w:t xml:space="preserve">The system shall provide directory pages for at least the 10 MVP-target cities at launch.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city page lists Bürgeramt, Ausländerbehörde, Standesamt, Finanzamt, Familienkasse, Jobcenter, Wohnungsamt, Führerscheinstelle.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office shows address, opening hours, booking portal URL, English support level, last-known wait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city page shows a "verified X days ago" badge.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FR-017 — City-specific document checklists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UC-006</w:t>
      </w:r>
    </w:p>
    <w:p>
      <w:pPr>
        <w:spacing w:after="80" w:before="0"/>
      </w:pPr>
      <w:r>
        <w:t xml:space="preserve">The system shall present city-specific document checklists for each common purpose (Anmeldung, residence permit, family registration, etc.).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Checklists are filtered by user visa pathway and family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surfaces differences between cities when the user changes city in profile.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FR-018 — Booking redirect tracking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UC-006</w:t>
      </w:r>
    </w:p>
    <w:p>
      <w:pPr>
        <w:spacing w:after="80" w:before="0"/>
      </w:pPr>
      <w:r>
        <w:t xml:space="preserve">The system shall track when users open booking portals and offer a "I booked it" confirmation flow.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booking URLs are tracked for analytics without exposing tracking tokens to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User-confirmed bookings create preparation tasks with 24-hour reminders.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FR-019 to FR-027 — Marketplace, Profile, Localisation, GDPR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FR-019 — Sperrkonto comparator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F-006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UC-007</w:t>
      </w:r>
    </w:p>
    <w:p>
      <w:pPr>
        <w:spacing w:after="80" w:before="0"/>
      </w:pPr>
      <w:r>
        <w:t xml:space="preserve">The system shall provide a comparator for at least 3 Sperrkonto providers at MVP.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Comparator shows: provider, setup time, setup fee, monthly fee, country availability, BAföG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row carries a clear commission disclosure.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Providers are sorted by user-fit score, not commission rate.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FR-020 — Partner referral tracking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F-006, F-007, F-008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UC-007, UC-008, UC-009</w:t>
      </w:r>
    </w:p>
    <w:p>
      <w:pPr>
        <w:spacing w:after="80" w:before="0"/>
      </w:pPr>
      <w:r>
        <w:t xml:space="preserve">The system shall track referrals to partners with conversion confirmation via API callback.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outbound referral is tagged with a unique tracking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conversion callbacks are received within 48 hours and reconciled.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callbacks fall back to daily reconciliation with the partner's reporting API.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FR-021 — Commission disclosure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F-006, F-007, F-008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UC-007 et al.</w:t>
      </w:r>
    </w:p>
    <w:p>
      <w:pPr>
        <w:spacing w:after="80" w:before="0"/>
      </w:pPr>
      <w:r>
        <w:t xml:space="preserve">The system shall display commission disclosure on every partner card.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Disclosure text is clear and visible without scrolling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[BRAND] earns nothing, the card shows "We earn no commission from this listing."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FR-022 — Insurance quote engine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F-007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UC-008</w:t>
      </w:r>
    </w:p>
    <w:p>
      <w:pPr>
        <w:spacing w:after="80" w:before="0"/>
      </w:pPr>
      <w:r>
        <w:t xml:space="preserve">The system shall capture user inputs and request a personalised quote from a partner broker.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 collected: age, visa type, employment status, salary range, pre-existing conditions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return within 5 seconds (P95).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health data sharing requires explicit, granular consent.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FR-023 — Insurance category routing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F-007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UC-008</w:t>
      </w:r>
    </w:p>
    <w:p>
      <w:pPr>
        <w:spacing w:after="80" w:before="0"/>
      </w:pPr>
      <w:r>
        <w:t xml:space="preserve">The system shall route users to the correct insurance category (public, private, expat short-term) based on their inputs.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above JAEG threshold and employment-based unlocks PKV; below routes to public.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Pre-existing conditions trigger a warning about PKV exclusion.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FR-024 — Housing partner inventory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F-008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UC-009</w:t>
      </w:r>
    </w:p>
    <w:p>
      <w:pPr>
        <w:spacing w:after="80" w:before="0"/>
      </w:pPr>
      <w:r>
        <w:t xml:space="preserve">The system shall surface housing listings from at least 2 partners at MVP, with Anmeldung-friendly badges.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is refreshed every 4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Listings without Anmeldung support are explicitly labelled and never default-recommended.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FR-025 — Housing search filters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F-008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UC-009</w:t>
      </w:r>
    </w:p>
    <w:p>
      <w:pPr>
        <w:spacing w:after="80" w:before="0"/>
      </w:pPr>
      <w:r>
        <w:t xml:space="preserve">The system shall allow filtering by city, district, move-in date, budget, duration, and family size.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No-results state suggests filter relaxations and offers a saved-search alert.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FR-026 — Profile edit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F-001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UC-010</w:t>
      </w:r>
    </w:p>
    <w:p>
      <w:pPr>
        <w:spacing w:after="80" w:before="0"/>
      </w:pPr>
      <w:r>
        <w:t xml:space="preserve">The system shall allow users to edit profile fields with immediate task list recalculation.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changes that materially alter context (city, visa pathway, family status) require user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task completions are preserved across changes.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FR-027 — GDPR data export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F-001 (compliance)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UC-018</w:t>
      </w:r>
    </w:p>
    <w:p>
      <w:pPr>
        <w:spacing w:after="80" w:before="0"/>
      </w:pPr>
      <w:r>
        <w:t xml:space="preserve">The system shall provide a complete data export to authenticated users within 30 days of request.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is delivered via one-time download link valid for 24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includes profile, task history, document metadata and files, notification log, partner referrals.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Rate-limited to once per 7 days per user.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FR-028 to FR-040 — Phase 2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FR-028 — Sworn translation marketplace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UC-011</w:t>
      </w:r>
    </w:p>
    <w:p>
      <w:pPr>
        <w:spacing w:after="80" w:before="0"/>
      </w:pPr>
      <w:r>
        <w:t xml:space="preserve">The system shall provide a marketplace for sworn translations with vetted translator partners.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BDÜ-vetted or justiz-dolmetscher.de-listed translators are eligible.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are fixed-price based on document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SLA: 5 business days; urgent: 24-48 hours at premium pricing.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FR-029 — Translation order tracking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UC-011</w:t>
      </w:r>
    </w:p>
    <w:p>
      <w:pPr>
        <w:spacing w:after="80" w:before="0"/>
      </w:pPr>
      <w:r>
        <w:t xml:space="preserve">The system shall track translation orders end-to-end with status transitions.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Statuses: ordered, assigned, in-progress, delivered, disputed.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Translators have access only to their assigned documents under DPA terms.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FR-030 — Banking decision tree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F-013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UC-012</w:t>
      </w:r>
    </w:p>
    <w:p>
      <w:pPr>
        <w:spacing w:after="80" w:before="0"/>
      </w:pPr>
      <w:r>
        <w:t xml:space="preserve">The system shall recommend banks based on nationality, US-tax status (FATCA), work status, and urgency.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Sparkasse fallback is always present for residents.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Sanctioned-individual scenarios are out of scope and route to legal counsel.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FR-031 — ZAB recognition workflow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UC-013</w:t>
      </w:r>
    </w:p>
    <w:p>
      <w:pPr>
        <w:spacing w:after="80" w:before="0"/>
      </w:pPr>
      <w:r>
        <w:t xml:space="preserve">The system shall provide an Anabin lookup, H+/H− interpretation, and ZAB application guidance.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Anabin lookups respect the database's terms of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 institutions default to ZAB Statement of Comparability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3-month silence triggers Untätigkeitsklage prompt.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FR-032 — Recognition status sync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UC-013</w:t>
      </w:r>
    </w:p>
    <w:p>
      <w:pPr>
        <w:spacing w:after="80" w:before="0"/>
      </w:pPr>
      <w:r>
        <w:t xml:space="preserve">The system shall reflect ZAB recognition status across all dependent tasks.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updates propagate within 1 second of user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 tasks (e.g., Blue Card application) unblock when recognition is positive.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FR-033 — Family eligibility calculator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F-016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UC-014</w:t>
      </w:r>
    </w:p>
    <w:p>
      <w:pPr>
        <w:spacing w:after="80" w:before="0"/>
      </w:pPr>
      <w:r>
        <w:t xml:space="preserve">The system shall compute sponsor eligibility based on income, space, and insurance.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Income threshold: €1,200/month minimum (lower threshold and exemptions for Blue Card holders).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requirement: 12 m² per adult, 10 m² per child under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calculator surfaces remediation suggestions when thresholds are not met.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FR-034 — Country-specific document chain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F-016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UC-014</w:t>
      </w:r>
    </w:p>
    <w:p>
      <w:pPr>
        <w:spacing w:after="80" w:before="0"/>
      </w:pPr>
      <w:r>
        <w:t xml:space="preserve">The system shall surface country-specific document requirements (apostille, OLG-Befreiung, Vertrauensanwalt verification).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OLG-Befreiung is auto-detected for non-issuing countries.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Vertrauensanwalt requirement is flagged for India, Pakistan, Nigeria, Bangladesh, Sri Lanka, DR Congo, Iraq, Iran, Syria, Afghanistan.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FR-035 — Embassy wait estimator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F-016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UC-014</w:t>
      </w:r>
    </w:p>
    <w:p>
      <w:pPr>
        <w:spacing w:after="80" w:before="0"/>
      </w:pPr>
      <w:r>
        <w:t xml:space="preserve">The system shall display estimated embassy appointment wait times per country.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 estimates are refreshed at least monthly.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Outliers (Tehran near-collapse, New Delhi, Lagos, Islamabad surges) are flagged with explanatory context.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FR-036 — Untätigkeitsklage escalation coach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F-017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UC-015</w:t>
      </w:r>
    </w:p>
    <w:p>
      <w:pPr>
        <w:spacing w:after="80" w:before="0"/>
      </w:pPr>
      <w:r>
        <w:t xml:space="preserve">The system shall guide users through Sachstandsanfrage and Untätigkeitsklage steps.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are reviewed by a German lawyer partner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Lawyer marketplace integration tracks lead conversion.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Beratungshilfe (legal aid) referral is offered for low-income users.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FR-037 — Premium subscription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F-026 (cross-cutting)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UC-016</w:t>
      </w:r>
    </w:p>
    <w:p>
      <w:pPr>
        <w:spacing w:after="80" w:before="0"/>
      </w:pPr>
      <w:r>
        <w:t xml:space="preserve">The system shall provide Premium subscription via Stripe with monthly (€9.99) and annual (€99) options.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VAT is included for EU residents.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Cancellation takes effect at end of billing 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status is reflected immediately on webhook receipt; daily reconciliation handles webhook failures.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FR-038 — Premium feature gates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F-026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UC-016</w:t>
      </w:r>
    </w:p>
    <w:p>
      <w:pPr>
        <w:spacing w:after="80" w:before="0"/>
      </w:pPr>
      <w:r>
        <w:t xml:space="preserve">The system shall enforce feature gating for Premium-only features (advanced reminders, OLG-Befreiung detector, AI Q&amp;A, premium vault, partner discounts).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users see a clear upgrade prompt when accessing gated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are evaluated server-side; client cannot bypass.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FR-039 — Multilingual UI — Phase 2 languages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F-018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Multiple</w:t>
      </w:r>
    </w:p>
    <w:p>
      <w:pPr>
        <w:spacing w:after="80" w:before="0"/>
      </w:pPr>
      <w:r>
        <w:t xml:space="preserve">The system shall support English, German, Arabic, Hindi, Persian, and Turkish UIs.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Locale switch is reflected without re-login.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Right-to-left layouts (Arabic, Persian) are correctly handled.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user-facing strings are externalised; hardcoded strings are forbidden.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FR-040 — Locale-aware AI Q&amp;A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F-038 (Premium)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UC-016</w:t>
      </w:r>
    </w:p>
    <w:p>
      <w:pPr>
        <w:spacing w:after="80" w:before="0"/>
      </w:pPr>
      <w:r>
        <w:t xml:space="preserve">The system shall provide an AI-assisted Q&amp;A surface that responds in the user's chosen language using verified [BRAND] content as retrieval source.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Responses cite source articles with last-verified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Out-of-scope queries (specific legal advice) route to lawyer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Hallucinated answers are prevented by retrieval-grounded generation.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FR-041 to FR-047 — Phase 3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FR-041 — Tax filing partner integration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F-019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Future UC</w:t>
      </w:r>
    </w:p>
    <w:p>
      <w:pPr>
        <w:spacing w:after="80" w:before="0"/>
      </w:pPr>
      <w:r>
        <w:t xml:space="preserve">The system shall integrate with at least one tax filing partner (Wundertax, Sorted, Accountable, MyExpatTaxes).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integration respects German tax-advisor licensing under StBerG.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[BRAND] does not provide tax advice in-house.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FR-042 — Kita/School finder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F-020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Future UC</w:t>
      </w:r>
    </w:p>
    <w:p>
      <w:pPr>
        <w:spacing w:after="80" w:before="0"/>
      </w:pPr>
      <w:r>
        <w:t xml:space="preserve">The system shall provide a Kita and school finder with waitlist tracking and Welcome Class enrolment guidance.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Finder is initially limited to MVP cities and expands based on data availability.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FR-043 — Citizenship application suite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F-021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UC-021</w:t>
      </w:r>
    </w:p>
    <w:p>
      <w:pPr>
        <w:spacing w:after="80" w:before="0"/>
      </w:pPr>
      <w:r>
        <w:t xml:space="preserve">The system shall provide a citizenship application bundler, Einbürgerungstest practice, and B1 booking integration.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practice covers all 33 questions with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B1 booking integrates with at least one Goethe-Institut partner.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FR-044 — Driver's licence conversion coach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F-022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UC-020</w:t>
      </w:r>
    </w:p>
    <w:p>
      <w:pPr>
        <w:spacing w:after="80" w:before="0"/>
      </w:pPr>
      <w:r>
        <w:t xml:space="preserve">The system shall surface country-specific reciprocity rules and conversion steps.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Reciprocity database covers all 195 UN member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Fahrschule cost estimator surfaces ranges for non-reciprocal countries.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FR-045 — Marriage workflow for binational couples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F-023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UC-022</w:t>
      </w:r>
    </w:p>
    <w:p>
      <w:pPr>
        <w:spacing w:after="80" w:before="0"/>
      </w:pPr>
      <w:r>
        <w:t xml:space="preserve">The system shall guide binational couples through OLG-Befreiung, Standesamt registration, and Vertrauensanwalt verification.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Vertrauensanwalt directory is sourced from German embassy publications.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FR-046 — Sanctions-aware money transfer comparison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F-024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UC-023</w:t>
      </w:r>
    </w:p>
    <w:p>
      <w:pPr>
        <w:spacing w:after="80" w:before="0"/>
      </w:pPr>
      <w:r>
        <w:t xml:space="preserve">The system shall surface money transfer providers filtered by current sanctions and licensing constraints.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Sanctions data is refreshed at least monthly from EU and German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[BRAND] never recommends sanctioned channels.</w:t>
      </w:r>
    </w:p>
    <w:p>
      <w:pPr>
        <w:spacing w:after="120"/>
      </w:pPr>
      <w:r>
        <w:t xml:space="preserve"/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FR-047 — Concierge case management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P2    </w:t>
      </w:r>
      <w:r>
        <w:rPr>
          <w:b/>
          <w:bCs/>
          <w:sz w:val="18"/>
          <w:szCs w:val="18"/>
        </w:rPr>
        <w:t xml:space="preserve">Feature: </w:t>
      </w:r>
      <w:r>
        <w:rPr>
          <w:sz w:val="18"/>
          <w:szCs w:val="18"/>
        </w:rPr>
        <w:t xml:space="preserve">F-025    </w:t>
      </w:r>
      <w:r>
        <w:rPr>
          <w:b/>
          <w:bCs/>
          <w:sz w:val="18"/>
          <w:szCs w:val="18"/>
        </w:rPr>
        <w:t xml:space="preserve">Use case: </w:t>
      </w:r>
      <w:r>
        <w:rPr>
          <w:sz w:val="18"/>
          <w:szCs w:val="18"/>
        </w:rPr>
        <w:t xml:space="preserve">UC-017</w:t>
      </w:r>
    </w:p>
    <w:p>
      <w:pPr>
        <w:spacing w:after="80" w:before="0"/>
      </w:pPr>
      <w:r>
        <w:t xml:space="preserve">The system shall provide a concierge intake, expert matching, payment, and chat experience.</w:t>
      </w:r>
    </w:p>
    <w:p>
      <w:pPr>
        <w:spacing w:after="40" w:before="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Experts hold relevant credentials (Anwalt, Steuerberater).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communications stay within [BRAND] for audit and dispute resolution.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Non-Functional Requirements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Performance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NFR-001 — Response time — P95 latency for primary screens</w:t>
      </w:r>
    </w:p>
    <w:p>
      <w:pPr>
        <w:spacing w:after="60" w:before="0"/>
      </w:pPr>
      <w:r>
        <w:t xml:space="preserve">The system shall respond to primary user actions (open dashboard, view task, mark complete) within 1 second at the 95th percentile.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P95 ≤ 1,000 ms; P99 ≤ 2,500 ms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RUM (Real User Monitoring) via Datadog or equivalent, segmented by region and device class.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Mobile users in unstable networks (Berlin S-Bahn, Munich U-Bahn) tolerate worse than ideal but not poor responsiveness.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NFR-002 — Response time — quote engines</w:t>
      </w:r>
    </w:p>
    <w:p>
      <w:pPr>
        <w:spacing w:after="60" w:before="0"/>
      </w:pPr>
      <w:r>
        <w:t xml:space="preserve">Insurance and translation quote engines shall return quotes within 5 seconds at P95.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P95 ≤ 5,000 ms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API trace measurement on partner round-trip times.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Users abandon quote flows above 7-second waits; partner SLA built into integration contracts.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NFR-003 — Cold start — mobile</w:t>
      </w:r>
    </w:p>
    <w:p>
      <w:pPr>
        <w:spacing w:after="60" w:before="0"/>
      </w:pPr>
      <w:r>
        <w:t xml:space="preserve">The mobile app shall reach the dashboard in under 3 seconds from cold start on a mid-range Android device.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Cold start ≤ 3,000 ms on Pixel 6a equivalent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Synthetic monitoring on a fleet of representative devices.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First-impression performance directly correlates with onboarding completion.</w:t>
      </w:r>
    </w:p>
    <w:p>
      <w:r>
        <w:br w:type="page"/>
      </w:r>
    </w:p>
    <w:p>
      <w:pPr>
        <w:pStyle w:val="Heading2"/>
      </w:pPr>
      <w:r>
        <w:t xml:space="preserve">Scalability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NFR-004 — Concurrent users</w:t>
      </w:r>
    </w:p>
    <w:p>
      <w:pPr>
        <w:spacing w:after="60" w:before="0"/>
      </w:pPr>
      <w:r>
        <w:t xml:space="preserve">The system shall support 10,000 concurrent active users at MVP and scale linearly to 100,000 by Phase 2.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10,000 concurrent at MVP; 100,000 at Phase 2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Load tests via k6 or JMeter on staging environment.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Organic growth and viral student-cohort spikes (semester start) drive concentrated traffic.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NFR-005 — Data volume — documents</w:t>
      </w:r>
    </w:p>
    <w:p>
      <w:pPr>
        <w:spacing w:after="60" w:before="0"/>
      </w:pPr>
      <w:r>
        <w:t xml:space="preserve">The system shall store up to 50,000 documents at MVP launch with average 2 MB size.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 GB at MVP; 5 TB at Phase 2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Storage telemetry on document store buckets.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Higher per-user document counts correlate with engagement and retention.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NFR-006 — Notification throughput</w:t>
      </w:r>
    </w:p>
    <w:p>
      <w:pPr>
        <w:spacing w:after="60" w:before="0"/>
      </w:pPr>
      <w:r>
        <w:t xml:space="preserve">The system shall dispatch up to 100,000 push notifications per hour during peak deadline windows.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100,000 push/hour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Provider (FCM, APNs) rate metrics and queue depth monitors.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Semester-start and visa-renewal-cycle peaks generate concentrated batch sends.</w:t>
      </w:r>
    </w:p>
    <w:p>
      <w:r>
        <w:br w:type="page"/>
      </w:r>
    </w:p>
    <w:p>
      <w:pPr>
        <w:pStyle w:val="Heading2"/>
      </w:pPr>
      <w:r>
        <w:t xml:space="preserve">Availability &amp; Reliability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NFR-007 — Service availability</w:t>
      </w:r>
    </w:p>
    <w:p>
      <w:pPr>
        <w:spacing w:after="60" w:before="0"/>
      </w:pPr>
      <w:r>
        <w:t xml:space="preserve">The system shall maintain 99.5% monthly uptime at MVP and 99.9% by Phase 2.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99.5% MVP; 99.9% Phase 2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Synthetic checks every 60 seconds; SLO dashboard.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Users depend on the system for legal-deadline reminders; downtime causes real harm.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NFR-008 — Disaster recovery — RPO/RTO</w:t>
      </w:r>
    </w:p>
    <w:p>
      <w:pPr>
        <w:spacing w:after="60" w:before="0"/>
      </w:pPr>
      <w:r>
        <w:t xml:space="preserve">The system shall recover from a region-level outage within 4 hours with at most 1 hour of data loss.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RTO 4 hours; RPO 1 hour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Quarterly DR drill in staging.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Frankfurt and Berlin AWS regions provide multi-AZ, but full region failures require cross-region planning.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NFR-009 — Data backup</w:t>
      </w:r>
    </w:p>
    <w:p>
      <w:pPr>
        <w:spacing w:after="60" w:before="0"/>
      </w:pPr>
      <w:r>
        <w:t xml:space="preserve">The system shall back up all production databases daily, retain 30 days of daily backups, and 12 months of monthly backups.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30 daily, 12 monthly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Backup verification jobs running weekly with restore tests.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Document loss or task-history loss is unacceptable.</w:t>
      </w:r>
    </w:p>
    <w:p>
      <w:r>
        <w:br w:type="page"/>
      </w:r>
    </w:p>
    <w:p>
      <w:pPr>
        <w:pStyle w:val="Heading2"/>
      </w:pPr>
      <w:r>
        <w:t xml:space="preserve">Security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NFR-010 — Encryption in transit</w:t>
      </w:r>
    </w:p>
    <w:p>
      <w:pPr>
        <w:spacing w:after="60" w:before="0"/>
      </w:pPr>
      <w:r>
        <w:t xml:space="preserve">The system shall enforce TLS 1.3 for all external traffic and TLS 1.2+ for internal service-to-service traffic.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TLS 1.3 external; TLS 1.2+ internal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Quarterly external TLS scan (e.g., SSL Labs A grade).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Document and PII protection requires modern transport security.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NFR-011 — Encryption at rest</w:t>
      </w:r>
    </w:p>
    <w:p>
      <w:pPr>
        <w:spacing w:after="60" w:before="0"/>
      </w:pPr>
      <w:r>
        <w:t xml:space="preserve">The system shall encrypt all PII and document data at rest with AES-256.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AES-256 for all PII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Annual security audit; KMS key rotation logs.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Regulatory requirement under GDPR and BDSG.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NFR-012 — Password storage</w:t>
      </w:r>
    </w:p>
    <w:p>
      <w:pPr>
        <w:spacing w:after="60" w:before="0"/>
      </w:pPr>
      <w:r>
        <w:t xml:space="preserve">The system shall hash passwords with Argon2id (memory cost 64 MB, time cost 3, parallelism 4).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Argon2id with industry-standard parameters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Code review and security audit; no plaintext password ever logged.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Defence-in-depth against credential database leaks.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NFR-013 — Session management</w:t>
      </w:r>
    </w:p>
    <w:p>
      <w:pPr>
        <w:spacing w:after="60" w:before="0"/>
      </w:pPr>
      <w:r>
        <w:t xml:space="preserve">The system shall use short-lived JWT access tokens (15 min) with refresh tokens (30 days, rotated on use).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Access TTL 15 min; refresh TTL 30 days, rotating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Token issuance audit log; brute-force rate-limit on login.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Stolen access tokens have limited blast radius.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NFR-014 — Multi-factor authentication</w:t>
      </w:r>
    </w:p>
    <w:p>
      <w:pPr>
        <w:spacing w:after="60" w:before="0"/>
      </w:pPr>
      <w:r>
        <w:t xml:space="preserve">The system shall offer optional TOTP-based MFA at MVP and require it for accounts with paid subscriptions or concierge cases.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Optional MFA at MVP; mandatory for paying users at Phase 2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Account-takeover incident rate.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Premium and concierge users have higher account value and need stronger protection.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NFR-015 — Penetration testing</w:t>
      </w:r>
    </w:p>
    <w:p>
      <w:pPr>
        <w:spacing w:after="60" w:before="0"/>
      </w:pPr>
      <w:r>
        <w:t xml:space="preserve">The system shall undergo external penetration testing annually and after every major architectural change.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Annual + change-driven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Pen-test reports filed with security team.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Independent verification of security posture.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NFR-016 — Vulnerability response SLA</w:t>
      </w:r>
    </w:p>
    <w:p>
      <w:pPr>
        <w:spacing w:after="60" w:before="0"/>
      </w:pPr>
      <w:r>
        <w:t xml:space="preserve">The system shall remediate critical vulnerabilities within 48 hours, high within 14 days, medium within 60 days.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Critical 48h; High 14d; Medium 60d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CVE tracking and patch deployment timestamps.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Established industry baseline.</w:t>
      </w:r>
    </w:p>
    <w:p>
      <w:r>
        <w:br w:type="page"/>
      </w:r>
    </w:p>
    <w:p>
      <w:pPr>
        <w:pStyle w:val="Heading2"/>
      </w:pPr>
      <w:r>
        <w:t xml:space="preserve">Privacy &amp; Compliance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NFR-017 — GDPR — lawful basis</w:t>
      </w:r>
    </w:p>
    <w:p>
      <w:pPr>
        <w:spacing w:after="60" w:before="0"/>
      </w:pPr>
      <w:r>
        <w:t xml:space="preserve">The system shall capture explicit, granular consent for each lawful basis (analytics, marketing, partner data sharing).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Consent toggles per category; not bundled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Consent logs reviewed by DPO quarterly.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Article 6 GDPR; Article 7 specifies clear, granular consent.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NFR-018 — GDPR — right to access</w:t>
      </w:r>
    </w:p>
    <w:p>
      <w:pPr>
        <w:spacing w:after="60" w:before="0"/>
      </w:pPr>
      <w:r>
        <w:t xml:space="preserve">The system shall fulfil data access requests within 30 days.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30-day SLA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Audit log of access request fulfilment.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Article 15 GDPR.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NFR-019 — GDPR — right to erasure</w:t>
      </w:r>
    </w:p>
    <w:p>
      <w:pPr>
        <w:spacing w:after="60" w:before="0"/>
      </w:pPr>
      <w:r>
        <w:t xml:space="preserve">The system shall fulfil erasure requests within 30 days, propagating to partner systems where data was shared.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30-day SLA + partner propagation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Audit log of erasure events; partner DPA verification.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Article 17 GDPR.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NFR-020 — Data residency</w:t>
      </w:r>
    </w:p>
    <w:p>
      <w:pPr>
        <w:spacing w:after="60" w:before="0"/>
      </w:pPr>
      <w:r>
        <w:t xml:space="preserve">The system shall store all production data in EU-resident infrastructure (Frankfurt or Berlin AWS regions, or Hetzner Falkenstein/Nürnberg).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100% EU residency for production data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Architecture review and quarterly compliance audit.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User trust and regulatory simplification.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NFR-021 — Partner data processing</w:t>
      </w:r>
    </w:p>
    <w:p>
      <w:pPr>
        <w:spacing w:after="60" w:before="0"/>
      </w:pPr>
      <w:r>
        <w:t xml:space="preserve">The system shall execute Auftragsverarbeitungsvertrag (DPA) with every partner that processes personal data.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DPA in place before data sharing begins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DPA repository maintained by DPO.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Article 28 GDPR; required for all processors.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NFR-022 — Insurance brokerage compliance</w:t>
      </w:r>
    </w:p>
    <w:p>
      <w:pPr>
        <w:spacing w:after="60" w:before="0"/>
      </w:pPr>
      <w:r>
        <w:t xml:space="preserve">Insurance brokerage features shall be operated under licensed partners holding §34d GewO authorisation.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100% via licensed partners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Partner licence verification before activation.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Operating insurance brokerage without licence is a regulatory offence.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NFR-023 — Tax advice compliance</w:t>
      </w:r>
    </w:p>
    <w:p>
      <w:pPr>
        <w:spacing w:after="60" w:before="0"/>
      </w:pPr>
      <w:r>
        <w:t xml:space="preserve">Tax-related features shall be operated under licensed Steuerberater partners under StBerG.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100% via licensed partners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Partner licence verification.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StBerG licence required for tax advice in Germany.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NFR-024 — Legal advice compliance</w:t>
      </w:r>
    </w:p>
    <w:p>
      <w:pPr>
        <w:spacing w:after="60" w:before="0"/>
      </w:pPr>
      <w:r>
        <w:t xml:space="preserve">Legal-advice features shall route to licensed lawyers under RDG; the platform itself does not provide legal advice.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Routing only; no in-house advice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Content review for legal-advice classification.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Rechtsdienstleistungsgesetz prohibits unlicensed legal advice.</w:t>
      </w:r>
    </w:p>
    <w:p>
      <w:r>
        <w:br w:type="page"/>
      </w:r>
    </w:p>
    <w:p>
      <w:pPr>
        <w:pStyle w:val="Heading2"/>
      </w:pPr>
      <w:r>
        <w:t xml:space="preserve">Accessibility &amp; Inclusion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NFR-025 — WCAG compliance</w:t>
      </w:r>
    </w:p>
    <w:p>
      <w:pPr>
        <w:spacing w:after="60" w:before="0"/>
      </w:pPr>
      <w:r>
        <w:t xml:space="preserve">The system shall meet WCAG 2.1 Level AA at launch; AAA where reasonable.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WCAG 2.1 AA (AAA stretch)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Automated checks (axe-core); annual accessibility audit; user testing with assistive tech users.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Disabled migrants are an underserved sub-group of [BRAND]'s audience.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NFR-026 — Right-to-left support</w:t>
      </w:r>
    </w:p>
    <w:p>
      <w:pPr>
        <w:spacing w:after="60" w:before="0"/>
      </w:pPr>
      <w:r>
        <w:t xml:space="preserve">The system shall correctly render right-to-left layouts (Arabic, Persian) at Phase 2.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100% RTL fidelity at Phase 2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P1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QA test suite with RTL screenshots; native-speaker reviews.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Persona 3 (Marwan, Syrian) and Persona 5 (Sahar, Iranian) require RTL.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NFR-027 — Reading level</w:t>
      </w:r>
    </w:p>
    <w:p>
      <w:pPr>
        <w:spacing w:after="60" w:before="0"/>
      </w:pPr>
      <w:r>
        <w:t xml:space="preserve">User-facing copy shall target a B1 reading level (CEFR) in English by default; native-speaker translations target similar accessibility.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B1 CEFR readability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Editorial review; readability tools (Hemingway, etc.).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Many users do not have C1+ language skills.</w:t>
      </w:r>
    </w:p>
    <w:p>
      <w:r>
        <w:br w:type="page"/>
      </w:r>
    </w:p>
    <w:p>
      <w:pPr>
        <w:pStyle w:val="Heading2"/>
      </w:pPr>
      <w:r>
        <w:t xml:space="preserve">Operability &amp; Observability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NFR-028 — Logging</w:t>
      </w:r>
    </w:p>
    <w:p>
      <w:pPr>
        <w:spacing w:after="60" w:before="0"/>
      </w:pPr>
      <w:r>
        <w:t xml:space="preserve">The system shall log all material events (auth, task transitions, document operations, partner referrals, payment events) with structured JSON.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Structured JSON logs with correlation IDs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Log search via centralised platform (e.g., Datadog, Grafana Loki).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Operational and forensic visibility.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NFR-029 — Metrics</w:t>
      </w:r>
    </w:p>
    <w:p>
      <w:pPr>
        <w:spacing w:after="60" w:before="0"/>
      </w:pPr>
      <w:r>
        <w:t xml:space="preserve">The system shall emit metrics for SLI tracking: request rate, error rate, latency (P50/P95/P99), saturation.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RED + USE method coverage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Dashboards with SLO alerts.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Industry-standard service metrics.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NFR-030 — Alerting</w:t>
      </w:r>
    </w:p>
    <w:p>
      <w:pPr>
        <w:spacing w:after="60" w:before="0"/>
      </w:pPr>
      <w:r>
        <w:t xml:space="preserve">The system shall alert on SLO breaches, error spikes, and security events within 5 minutes.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5-minute alert SLA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PagerDuty or equivalent on-call rotation.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Solo founder + AI-augmented engineering at MVP requires precise alerting.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NFR-031 — Audit trail</w:t>
      </w:r>
    </w:p>
    <w:p>
      <w:pPr>
        <w:spacing w:after="60" w:before="0"/>
      </w:pPr>
      <w:r>
        <w:t xml:space="preserve">The system shall maintain an immutable audit trail of all data-sensitive operations (document uploads, exports, deletions, profile changes) for 12 months.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12-month retention; tamper-evident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Append-only audit table; periodic integrity verification.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Required for GDPR investigations and dispute resolution.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NFR-032 — Dependency management</w:t>
      </w:r>
    </w:p>
    <w:p>
      <w:pPr>
        <w:spacing w:after="60" w:before="0"/>
      </w:pPr>
      <w:r>
        <w:t xml:space="preserve">The system shall maintain an SBOM (Software Bill of Materials) and remediate known vulnerable dependencies within the SLAs in NFR-016.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Target: </w:t>
      </w:r>
      <w:r>
        <w:rPr>
          <w:sz w:val="18"/>
          <w:szCs w:val="18"/>
        </w:rPr>
        <w:t xml:space="preserve">SBOM updated at every release    </w:t>
      </w:r>
      <w:r>
        <w:rPr>
          <w:b/>
          <w:bCs/>
          <w:sz w:val="18"/>
          <w:szCs w:val="18"/>
        </w:rPr>
        <w:t xml:space="preserve">Priority: </w:t>
      </w:r>
      <w:r>
        <w:rPr>
          <w:sz w:val="18"/>
          <w:szCs w:val="18"/>
        </w:rPr>
        <w:t xml:space="preserve">P0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Measurement: </w:t>
      </w:r>
      <w:r>
        <w:rPr>
          <w:sz w:val="18"/>
          <w:szCs w:val="18"/>
        </w:rPr>
        <w:t xml:space="preserve">Dependency scanning in CI (e.g., Snyk, Dependabot).</w:t>
      </w:r>
    </w:p>
    <w:p>
      <w:pPr>
        <w:spacing w:after="120"/>
      </w:pPr>
      <w:r>
        <w:rPr>
          <w:b/>
          <w:bCs/>
          <w:i/>
          <w:iCs/>
          <w:color w:val="555555"/>
          <w:sz w:val="18"/>
          <w:szCs w:val="18"/>
        </w:rPr>
        <w:t xml:space="preserve">Rationale: </w:t>
      </w:r>
      <w:r>
        <w:rPr>
          <w:i/>
          <w:iCs/>
          <w:color w:val="555555"/>
          <w:sz w:val="18"/>
          <w:szCs w:val="18"/>
        </w:rPr>
        <w:t xml:space="preserve">Supply chain attacks are a top industry risk.</w:t>
      </w:r>
    </w:p>
    <w:p>
      <w:pPr>
        <w:pStyle w:val="Heading1"/>
      </w:pPr>
      <w:r>
        <w:t xml:space="preserve">Traceability Matrix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00" w:before="0"/>
      </w:pPr>
      <w:r>
        <w:t xml:space="preserve">This matrix maps every functional requirement to its source feature(s) and the use case(s) that exercise it. It enables impact analysis when requirements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Feature(s)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case(s)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FR-001 to FR-003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F-001 Onboarding wizard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FR-004 to FR-009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F-002 Sequencer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UC-001, UC-002, UC-003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FR-010 to FR-013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F-003 Document Vault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FR-012, FR-014, FR-015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F-004 Deadline Engine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FR-016 to FR-018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F-005 City office pages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FR-019 to FR-021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F-006 Sperrkonto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FR-022, FR-023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F-007 Insurance selector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FR-024, FR-025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F-008 Furnished housing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UC-009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F-001 (cross-cutting)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FR-028, FR-029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F-012 Translation marketplace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F-013 Banking decision tree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FR-031, FR-032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F-015 ZAB workflow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FR-033 to FR-035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F-016 Family reunification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F-017 Untätigkeitsklage coach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FR-037, FR-038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F-026 Premium / cross-cutting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FR-039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F-018 Multilingual UI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FR-040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F-038 Premium AI Q&amp;A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UC-016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FR-041 to FR-047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F-019 to F-025 (Phase 3)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Future UCs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Initial release; 47 FRs and 32 NFRs covering MVP, Phase 2, Phase 3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Journey Flowcharts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 Specifications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/ Mockups — next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Model + API Specification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+ Test Cases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FRS + NFR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Functional &amp; Non-Functional Requirements v1.0</dc:title>
  <dc:creator>Philip Olaomo</dc:creator>
  <dc:description>Engineering-grade requirements specification.</dc:description>
  <cp:lastModifiedBy>Un-named</cp:lastModifiedBy>
  <cp:revision>1</cp:revision>
  <dcterms:created xsi:type="dcterms:W3CDTF">2026-04-28T06:55:42.989Z</dcterms:created>
  <dcterms:modified xsi:type="dcterms:W3CDTF">2026-04-28T06:55:42.990Z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