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A5F"/>
          <w:sz w:val="32"/>
          <w:szCs w:val="32"/>
        </w:rPr>
        <w:t xml:space="preserve">USER JOURNEY FLOWCHARTS</w:t>
      </w:r>
    </w:p>
    <w:p>
      <w:pPr>
        <w:spacing w:after="0" w:before="240"/>
        <w:jc w:val="center"/>
      </w:pPr>
      <w:r>
        <w:rPr>
          <w:b/>
          <w:bCs/>
          <w:color w:val="1F3A5F"/>
          <w:sz w:val="72"/>
          <w:szCs w:val="72"/>
        </w:rPr>
        <w:t xml:space="preserve">[BRAND]</w:t>
      </w:r>
    </w:p>
    <w:p>
      <w:pPr>
        <w:spacing w:after="600" w:before="60"/>
        <w:jc w:val="center"/>
      </w:pPr>
      <w:r>
        <w:rPr>
          <w:i/>
          <w:iCs/>
          <w:color w:val="555555"/>
          <w:sz w:val="24"/>
          <w:szCs w:val="24"/>
        </w:rPr>
        <w:t xml:space="preserve">Visual maps of the 5 primary customer journeys</w:t>
      </w:r>
    </w:p>
    <w:p>
      <w:pPr>
        <w:pBdr>
          <w:bottom w:val="single" w:color="1F3A5F" w:sz="12" w:space="4"/>
        </w:pBd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User Journey Flowcharts — [BRAND]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Philip Olaomo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Product Requirements Document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Engineering, Design, Product, Stakeholders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Introduction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This document maps the five primary customer journeys for [BRAND]. Each journey represents a distinct lifecycle moment for international residents in Germany, sourced from the April 2026 research report and validated against real pain points surfaced in expat forums, journalist reports, and government documentation.</w:t>
      </w:r>
    </w:p>
    <w:p>
      <w:pPr>
        <w:spacing w:after="120" w:before="0"/>
      </w:pPr>
      <w:r>
        <w:t xml:space="preserve">The flowcharts use a shared visual language so that engineering and design teams can read across journeys without re-learning the notation.</w:t>
      </w:r>
    </w:p>
    <w:p>
      <w:pPr>
        <w:pStyle w:val="Heading2"/>
      </w:pPr>
      <w:r>
        <w:t xml:space="preserve">Visual notation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 rectangles — User steps (actions the immigrant must perform themselves).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Orange diamonds — Decisions (branching points where the journey diverges).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rectangles — [BRAND] actions (where the product intervenes to add value).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 rectangles — Common pain points (problems that justify [BRAND]'s existence).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green rounded rectangles — Outcomes (the successful end-state of the journey).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Arrows — Sequence (default: left-to-right; curved arrows indicate journey transitions across lanes).</w:t>
      </w:r>
    </w:p>
    <w:p>
      <w:pPr>
        <w:pStyle w:val="Heading2"/>
      </w:pPr>
      <w:r>
        <w:t xml:space="preserve">How to read each journey</w:t>
      </w:r>
    </w:p>
    <w:p>
      <w:pPr>
        <w:spacing w:after="120" w:before="0"/>
      </w:pPr>
      <w:r>
        <w:t xml:space="preserve">Each journey is laid out in horizontal lanes, top to bottom. Lanes correspond to phases (e.g., pre-arrival, arrival, university, residence permit). At the bottom of each journey, a red panel summarises the most common pain points [BRAND] addresses. Below that, the green outcome box describes the successful end state. The italicised footer notes [BRAND]'s role and the monetisation hooks for that journey.</w:t>
      </w:r>
    </w:p>
    <w:p>
      <w:pPr>
        <w:spacing w:after="120" w:before="0"/>
      </w:pPr>
      <w:r>
        <w:t xml:space="preserve">Together, the five journeys cover the full immigration lifecycle: arrival → settlement → renewal → family → permanence. They are not exhaustive — secondary journeys (Bürgergeld onboarding, asylum process, child birth registration, etc.) will be mapped in Phase 2 deliverables.</w:t>
      </w:r>
    </w:p>
    <w:p>
      <w:r>
        <w:br w:type="page"/>
      </w:r>
    </w:p>
    <w:p>
      <w:pPr>
        <w:pStyle w:val="Heading1"/>
      </w:pPr>
      <w:r>
        <w:t xml:space="preserve">Journey 1 — First-time student arrival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Persona served</w:t>
      </w:r>
    </w:p>
    <w:p>
      <w:pPr>
        <w:spacing w:after="120" w:before="0"/>
      </w:pPr>
      <w:r>
        <w:t xml:space="preserve">Primary: Persona 2 (Chiamaka, Nigerian master's student in Aschaffenburg). Secondary: any non-EU student arriving on a D-visa. This is [BRAND]'s MVP target persona — highest volume and most acute combination of bureaucratic friction, language barrier, and willingness to use a digital tool.</w:t>
      </w:r>
    </w:p>
    <w:p>
      <w:pPr>
        <w:pStyle w:val="Heading2"/>
      </w:pPr>
      <w:r>
        <w:t xml:space="preserve">Trigger and horizon</w:t>
      </w:r>
    </w:p>
    <w:p>
      <w:pPr>
        <w:spacing w:after="120" w:before="0"/>
      </w:pPr>
      <w:r>
        <w:t xml:space="preserve">Trigger: D-visa issued by a German consulate abroad. Horizon: 30 days pre-arrival to 90 days post-arrival. Critical deadlines fall inside this window — Anmeldung (within 14 days of moving in), Sperrkonto activation, switch to public health insurance, residence permit application before D-visa expires.</w:t>
      </w:r>
    </w:p>
    <w:p>
      <w:pPr>
        <w:pStyle w:val="Heading2"/>
      </w:pPr>
      <w:r>
        <w:t xml:space="preserve">Critical moments where [BRAND] adds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Pre-arrival countdown: most students underestimate the sequencing of Sperrkonto, insurance, apostille, and translation. [BRAND] delivers a dated checklist starting 30 days before flight.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Anmeldung slot finder: in Berlin, Munich, and Stuttgart, slot scarcity is a primary blocker. [BRAND] surfaces alternative offices and watches for newly-released slots.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City-specific residence permit guidance: Munich's KVR, Berlin's LEA, and Stuttgart's Ausländerbehörde each operate different portals with different document lists. [BRAND] presents the right list for the user's exact city and visa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GEZ/Rundfunkbeitrag warning: most students miss the Rundfunkbeitrag enrolment letter, which arrives 4–6 weeks after Anmeldung. [BRAND] flags it and explains the BAföG-based exemption pathway.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Journey 2 — Job seeker visa to work visa transition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Persona served</w:t>
      </w:r>
    </w:p>
    <w:p>
      <w:pPr>
        <w:spacing w:after="120" w:before="0"/>
      </w:pPr>
      <w:r>
        <w:t xml:space="preserve">Primary: Persona 1 (Arjun, Indian software engineer with EU Blue Card). Secondary: any non-EU graduate transitioning from §20 graduate job-search permit to skilled-worker permit, or any Chancenkarte holder converting to a work permit. The 2024 Chancenkarte launch and the 2026 Blue Card thresholds make this journey rapidly evolving.</w:t>
      </w:r>
    </w:p>
    <w:p>
      <w:pPr>
        <w:pStyle w:val="Heading2"/>
      </w:pPr>
      <w:r>
        <w:t xml:space="preserve">Trigger and horizon</w:t>
      </w:r>
    </w:p>
    <w:p>
      <w:pPr>
        <w:spacing w:after="120" w:before="0"/>
      </w:pPr>
      <w:r>
        <w:t xml:space="preserve">Trigger: studies complete (graduate path) OR Chancenkarte issued. Horizon: 12–18 months from trigger to converted work permit. The journey forks into two parallel paths that converge at the residence permit application stage.</w:t>
      </w:r>
    </w:p>
    <w:p>
      <w:pPr>
        <w:pStyle w:val="Heading2"/>
      </w:pPr>
      <w:r>
        <w:t xml:space="preserve">Critical moments where [BRAND] adds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Permit-expiry deadline tracking: §20 graduate permits last 18 months; Chancenkarte lasts 12 months. Missing the conversion window is catastrophic. [BRAND] tracks expiry and surfaces actions at 90, 60,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Salary threshold check: 2026 EU Blue Card requires €50,700 (standard) or €45,934.20 (shortage occupations). Many candidates are just below the line and don't realise. [BRAND] provides a calculator that catches this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Employer letter validation: the most common application bounce reason is a non-conforming employer offer letter. [BRAND] gives users a checklist to hand to their employer's HR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ZAB recognition workflow: degree recognition takes 6–12 weeks. If not started early, the application stalls. [BRAND] kicks this off in parallel with the job search, not at the residence permit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Untätigkeitsklage escalation: in Berlin, LEA silence beyond 3 months is grounds for a lawsuit. [BRAND] tracks the silence clock and routes users to lawyer partners.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Journey 3 — Visa renewal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Persona served</w:t>
      </w:r>
    </w:p>
    <w:p>
      <w:pPr>
        <w:spacing w:after="120" w:before="0"/>
      </w:pPr>
      <w:r>
        <w:t xml:space="preserve">All personas with a non-permanent residence permit. Renewal is the single most universal recurring pain in [BRAND]'s scope — every Aufenthaltstitel-holder hits it on a 1–4 year cycle.</w:t>
      </w:r>
    </w:p>
    <w:p>
      <w:pPr>
        <w:pStyle w:val="Heading2"/>
      </w:pPr>
      <w:r>
        <w:t xml:space="preserve">Trigger and horizon</w:t>
      </w:r>
    </w:p>
    <w:p>
      <w:pPr>
        <w:spacing w:after="120" w:before="0"/>
      </w:pPr>
      <w:r>
        <w:t xml:space="preserve">Trigger: residence permit expiry within 12 weeks. Horizon: 8–12 weeks if managed proactively, longer if delays occur. Frankfurt sends auto-renewal letters since 2018; most other cities do not.</w:t>
      </w:r>
    </w:p>
    <w:p>
      <w:pPr>
        <w:pStyle w:val="Heading2"/>
      </w:pPr>
      <w:r>
        <w:t xml:space="preserve">Critical moments where [BRAND] adds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Countdown reminders: [BRAND] pushes notifications at 90, 60, 30, 14, 7, and 1 day intervals before expiry. Each reminder includes the exact next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City portal routing: ten target cities operate ten different submission portals, with different document requirements and different communication patterns. [BRAND] routes users to the correct portal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gap detection: the Document Vault flags missing or expired prerequisites (e.g., birth certificates older than 6 months, biometric photos in non-digital format) before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Fiktionsbescheinigung guidance: when permit expires before decision, the provisional Fiktionsbescheinigung blocks travel and may block new job-starts. [BRAND] explains the implications and routes users to legal help.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silence escalation: [BRAND] starts the 3-month silence clock automatically and prompts a Sachstandsanfrage, then an Untätigkeitsklage if needed.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Journey 4 — Family reunification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Persona served</w:t>
      </w:r>
    </w:p>
    <w:p>
      <w:pPr>
        <w:spacing w:after="120" w:before="0"/>
      </w:pPr>
      <w:r>
        <w:t xml:space="preserve">Primary: Personas 1 (Arjun bringing wife Priya), 3 (Marwan bringing wife from Beirut), 5 (Sahar bringing parents from Iran). Secondary: any sponsor wishing to bring spouse, children, or parents to Germany. The July 2025 suspension of subsidiary-protection family reunification (until July 2027) and the per-country embassy timelines create wildly different experiences depending on nationality and sponsor permit type.</w:t>
      </w:r>
    </w:p>
    <w:p>
      <w:pPr>
        <w:pStyle w:val="Heading2"/>
      </w:pPr>
      <w:r>
        <w:t xml:space="preserve">Trigger and horizon</w:t>
      </w:r>
    </w:p>
    <w:p>
      <w:pPr>
        <w:spacing w:after="120" w:before="0"/>
      </w:pPr>
      <w:r>
        <w:t xml:space="preserve">Trigger: sponsor decides to bring family. Horizon: 6 months (privileged passports) to 2 years (high-volume embassies + problem-country document chains). The longest pain is the embassy slot wait, which can exceed 18 months.</w:t>
      </w:r>
    </w:p>
    <w:p>
      <w:pPr>
        <w:pStyle w:val="Heading2"/>
      </w:pPr>
      <w:r>
        <w:t xml:space="preserve">Critical moments where [BRAND] adds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Eligibility calculator: sponsor must show €1,200+/month income, adequate space (12m² per adult, 10m² per child under 6), and health insurance for joiners. [BRAND] catches eligibility gaps before the application is filed.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A1 German exemption decision tree: spouses must show A1 unless privileged-country exempt or Blue-Card-spouse exempt. Many couples don't realise they qualify for an exemption.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OLG-Befreiung detector: countries that don't issue Ehefähigkeitszeugnis (Pakistan, Nigeria, Iran, Syria, Vietnam, Thailand, USA, UK, Canada, Australia, Brazil) require an OLG-Befreiung — a 2–6 month, €15–305 process. [BRAND] flags this for couples whose origin countries are on the non-issuing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Country-specific document timeline: India, Pakistan, Nigeria, Bangladesh, Sri Lanka, DR Congo, Iraq, Iran, Syria, Afghanistan require Vertrauensanwalt verification (€100–500, 2–6 months). [BRAND] generates a country-specific timeline so users don't underestimate.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Embassy wait tracker: New Delhi, Lagos, Islamabad, and Tehran consulates have multi-month waits. [BRAND] surfaces current expected waits so users plan around them.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Journey 5 — Path to permanent residency and citizenship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Persona served</w:t>
      </w:r>
    </w:p>
    <w:p>
      <w:pPr>
        <w:spacing w:after="120" w:before="0"/>
      </w:pPr>
      <w:r>
        <w:t xml:space="preserve">Long-term residents across all personas. Most acute for Personas 3 (Marwan, Syrian refugee eligible for citizenship under post-2024 5-year rule) and 1 (Arjun, EU Blue Card holder eligible for Niederlassungserlaubnis after 21–27 months). The June 2024 reform reduced the residence requirement from 8 to 5 years and allowed dual citizenship — but the October 2025 repeal of the 3-year fast-track means the journey is back to a single 5-year track.</w:t>
      </w:r>
    </w:p>
    <w:p>
      <w:pPr>
        <w:pStyle w:val="Heading2"/>
      </w:pPr>
      <w:r>
        <w:t xml:space="preserve">Trigger and horizon</w:t>
      </w:r>
    </w:p>
    <w:p>
      <w:pPr>
        <w:spacing w:after="120" w:before="0"/>
      </w:pPr>
      <w:r>
        <w:t xml:space="preserve">Trigger: 21 months (Blue Card with B1) for Niederlassungserlaubnis; 5 years for citizenship. Horizon: years. This is [BRAND]'s longest-tail journey and the one with the strongest retention argument — [BRAND] earns its place in the user's life by being there for 5+ years.</w:t>
      </w:r>
    </w:p>
    <w:p>
      <w:pPr>
        <w:pStyle w:val="Heading2"/>
      </w:pPr>
      <w:r>
        <w:t xml:space="preserve">Critical moments where [BRAND] adds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Long-horizon eligibility tracker: [BRAND] tracks residence months, B1 certification, pension contribution months, financial self-sufficiency markers, and clean-record requirements. Users see a single counter to their next eligibility milestone.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Pension month reminders: 60 months of pension contributions (or 36 for skilled workers) is a hard requirement. Self-employed users without statutory pension miss this. [BRAND] surfaces it early enough to 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preparation: Leben-in-Deutschland test (33 questions, pass 17) for Niederlassungserlaubnis; Einbürgerungstest (33 questions, pass 17) for citizenship. [BRAND] offers practice and B1 booking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Citizenship application bundler: required documents span Anmeldung history, marriage/birth certificates, employer letters, pension statement, criminal record, language certificate, fee proof. [BRAND] assembles the bundle from the user's existing Document Vault.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Backlog escalation: Berlin LEA's 75,000-application citizenship backlog means 24+ month waits are common. [BRAND] tracks the silence clock and routes to Untätigkeitsklage when the legal threshold passes.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Cross-journey reference matrix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This matrix summarises every journey on a single page for product, design, and engineering reference. Use it as a quick map when evaluating new feature ideas — does the feature serve more than one journey, or only one?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700"/>
        <w:gridCol w:w="2000"/>
        <w:gridCol w:w="26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Journey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monetisation hook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 — First-time student arrival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D-visa issued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30d pre → 90d post arrival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Chiamaka (non-EU master's student)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Sperrkonto referral + insurance brokerage + housing affiliate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 — Job-seeker to work visa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Studies complete OR Chancenkarte issued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12-18 months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Arjun (Indian Blue Card candidate)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Lawyer marketplace + ZAB application support + premium subscription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3 — Visa renewal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Permit expires within 12 weeks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8-12 weeks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All permit holders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Premium reminders + sworn-translation marketplace + Untätigkeitsklage lawyers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4 — Family reunification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Sponsor decides to bring family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6 months to 2 years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Arjun, Marwan, Sahar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Lawyer marketplace + sworn-translation marketplace + binational marriage specialists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5 — PR + citizenship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21 months / 5 years residence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Years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Long-term residents (especially Marwan, Arjun)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Premium subscription + concierge + lawyer marketplace + test-prep partnerships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Philip Olaomo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Initial release; 5 primary journeys; landscape PDF format</w:t>
            </w:r>
          </w:p>
        </w:tc>
      </w:tr>
    </w:tbl>
    <w:p>
      <w:pPr>
        <w:pStyle w:val="Heading2"/>
      </w:pPr>
      <w: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Requirements Document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Cases (UC-001 through UC-NN) — next deliverable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&amp; Non-Functional Requirements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Wireframes / Mockups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Model + API Specification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Plan + Test Cases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Plan — to follow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[BRAND] — User Journey Flowcharts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bad17e36fc2a13ed719b0f5388de607ddc59eb.png"/><Relationship Id="rId10" Type="http://schemas.openxmlformats.org/officeDocument/2006/relationships/image" Target="media/f007e1ca984915eb0afef0d5ff5105620ebff307.png"/><Relationship Id="rId11" Type="http://schemas.openxmlformats.org/officeDocument/2006/relationships/image" Target="media/f1824769ad486ab69b8e97875380645e81757733.png"/><Relationship Id="rId12" Type="http://schemas.openxmlformats.org/officeDocument/2006/relationships/image" Target="media/fa3358ff2a2ffafc1ade071997ef47b48c1e14e8.png"/><Relationship Id="rId13" Type="http://schemas.openxmlformats.org/officeDocument/2006/relationships/image" Target="media/9247a2bd0de1f6a92972990d99fd365bb937886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[BRAND] — User Journey Flowcharts v1.0</dc:title>
  <dc:creator>Philip Olaomo</dc:creator>
  <dc:description>Visual maps of the 5 primary customer journeys.</dc:description>
  <cp:lastModifiedBy>Un-named</cp:lastModifiedBy>
  <cp:revision>1</cp:revision>
  <dcterms:created xsi:type="dcterms:W3CDTF">2026-04-27T23:03:43.800Z</dcterms:created>
  <dcterms:modified xsi:type="dcterms:W3CDTF">2026-04-27T23:03:43.804Z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