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line="360" w:lineRule="auto"/>
        <w:rPr/>
      </w:pPr>
      <w:bookmarkStart w:colFirst="0" w:colLast="0" w:name="_81qsj4jh60na" w:id="0"/>
      <w:bookmarkEnd w:id="0"/>
      <w:r w:rsidDel="00000000" w:rsidR="00000000" w:rsidRPr="00000000">
        <w:rPr>
          <w:rtl w:val="0"/>
        </w:rPr>
        <w:t xml:space="preserve">Homework for 2 Beetroot lesson</w:t>
        <w:br w:type="textWrapping"/>
        <w:t xml:space="preserve">“Companies and projects. Testing Concepts. General ISTQB standards”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spacing w:after="0" w:afterAutospacing="0" w:line="360" w:lineRule="auto"/>
        <w:jc w:val="left"/>
        <w:rPr/>
      </w:pPr>
      <w:bookmarkStart w:colFirst="0" w:colLast="0" w:name="_8h017pan43nx" w:id="1"/>
      <w:bookmarkEnd w:id="1"/>
      <w:r w:rsidDel="00000000" w:rsidR="00000000" w:rsidRPr="00000000">
        <w:rPr>
          <w:rtl w:val="0"/>
        </w:rPr>
        <w:t xml:space="preserve">Beet Seed</w:t>
      </w:r>
    </w:p>
    <w:p w:rsidR="00000000" w:rsidDel="00000000" w:rsidP="00000000" w:rsidRDefault="00000000" w:rsidRPr="00000000" w14:paraId="00000004">
      <w:pPr>
        <w:pStyle w:val="Heading3"/>
        <w:numPr>
          <w:ilvl w:val="1"/>
          <w:numId w:val="2"/>
        </w:numPr>
        <w:spacing w:before="0" w:beforeAutospacing="0"/>
        <w:ind w:left="1440" w:hanging="360"/>
        <w:jc w:val="left"/>
        <w:rPr/>
      </w:pPr>
      <w:bookmarkStart w:colFirst="0" w:colLast="0" w:name="_z4pn6oz0s1wn" w:id="2"/>
      <w:bookmarkEnd w:id="2"/>
      <w:r w:rsidDel="00000000" w:rsidR="00000000" w:rsidRPr="00000000">
        <w:rPr>
          <w:rtl w:val="0"/>
        </w:rPr>
        <w:t xml:space="preserve">Вибери предмет з твого оточення (наприклад, чашку, ноутбук, машину, футболку тощо) і спробуй його протестувати. Поясни, чому ти обрав/ла саме таку перевірку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Обраний предмет</w:t>
      </w:r>
      <w:r w:rsidDel="00000000" w:rsidR="00000000" w:rsidRPr="00000000">
        <w:rPr>
          <w:rtl w:val="0"/>
        </w:rPr>
        <w:t xml:space="preserve">: світильник з підсвічуваним покриттям з можливістю нанесення тексту маркером.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  <w:t xml:space="preserve">Опис обраного предмету: </w:t>
      </w:r>
      <w:r w:rsidDel="00000000" w:rsidR="00000000" w:rsidRPr="00000000">
        <w:rPr>
          <w:rtl w:val="0"/>
        </w:rPr>
        <w:t xml:space="preserve">світильник у вигляді пласкої лампи накалювання. Обидві пласкі сторони мають покриття, що дозволяють наносити фарбу за допомогою маркеру, а також за необхідності видаляти фарбу з покриття за допомогою губки.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Комплект складається з:</w:t>
      </w:r>
      <w:r w:rsidDel="00000000" w:rsidR="00000000" w:rsidRPr="00000000">
        <w:rPr>
          <w:rtl w:val="0"/>
        </w:rPr>
        <w:t xml:space="preserve"> світильнику з нез’ємним 5V USB А провідом для під’єднання до мережі; акриловий маркер з фарбою білого кольору; губка з войлоку та мікрофібри для зтирання фарби з поверхні.</w:t>
      </w:r>
    </w:p>
    <w:p w:rsidR="00000000" w:rsidDel="00000000" w:rsidP="00000000" w:rsidRDefault="00000000" w:rsidRPr="00000000" w14:paraId="00000009">
      <w:pPr>
        <w:pStyle w:val="Heading3"/>
        <w:spacing w:line="360" w:lineRule="auto"/>
        <w:jc w:val="center"/>
        <w:rPr/>
      </w:pPr>
      <w:bookmarkStart w:colFirst="0" w:colLast="0" w:name="_2zfvmy8l8905" w:id="3"/>
      <w:bookmarkEnd w:id="3"/>
      <w:r w:rsidDel="00000000" w:rsidR="00000000" w:rsidRPr="00000000">
        <w:rPr>
          <w:rtl w:val="0"/>
        </w:rPr>
        <w:t xml:space="preserve">Ручне фунціональне тестування</w:t>
      </w:r>
    </w:p>
    <w:p w:rsidR="00000000" w:rsidDel="00000000" w:rsidP="00000000" w:rsidRDefault="00000000" w:rsidRPr="00000000" w14:paraId="0000000A">
      <w:pPr>
        <w:pStyle w:val="Heading4"/>
        <w:spacing w:line="360" w:lineRule="auto"/>
        <w:ind w:left="720" w:hanging="360"/>
        <w:jc w:val="center"/>
        <w:rPr/>
      </w:pPr>
      <w:bookmarkStart w:colFirst="0" w:colLast="0" w:name="_qhb0ahnm02k1" w:id="4"/>
      <w:bookmarkEnd w:id="4"/>
      <w:r w:rsidDel="00000000" w:rsidR="00000000" w:rsidRPr="00000000">
        <w:rPr>
          <w:rtl w:val="0"/>
        </w:rPr>
        <w:t xml:space="preserve">Позитивний сценарій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Перевірка світильнику на предмет працездатності освітлення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Шлях виконання тестування: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Ввімкнути світильник у мережу для подання електроенергії на прилад;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Звернути увагу на зміну стану освітлення навколо.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  <w:t xml:space="preserve">Очікуваний результат: </w:t>
      </w:r>
      <w:r w:rsidDel="00000000" w:rsidR="00000000" w:rsidRPr="00000000">
        <w:rPr>
          <w:rtl w:val="0"/>
        </w:rPr>
        <w:t xml:space="preserve">освітлення навколо світильника змінюється відповідно до освітлення, що випромінюється світлодіодами приладу.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  <w:t xml:space="preserve">Фактичний результат: </w:t>
      </w:r>
      <w:r w:rsidDel="00000000" w:rsidR="00000000" w:rsidRPr="00000000">
        <w:rPr>
          <w:rtl w:val="0"/>
        </w:rPr>
        <w:t xml:space="preserve">відповідно до очікуваного результату.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Перевірка покриття пласких сторін приладу на предмет працездатності нанесення маркером фарби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Шлях виконання тестування: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Нанести довільний малюнок за допомогою акрилового маркеру на поверхню приладу з відповідним покриттям, що йде в комплекті з приладом;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Звернути увагу на зміну вигляду поверхні відповідно до нанесеної фарби та її підсвічування.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  <w:t xml:space="preserve">Очікуваний результат: </w:t>
      </w:r>
      <w:r w:rsidDel="00000000" w:rsidR="00000000" w:rsidRPr="00000000">
        <w:rPr>
          <w:rtl w:val="0"/>
        </w:rPr>
        <w:t xml:space="preserve">поверхня змінює вигляд відповідно до насененого малюнку фарбою за допомогою маркеру з комплекту.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  <w:t xml:space="preserve">Фактичний результат:</w:t>
      </w:r>
      <w:r w:rsidDel="00000000" w:rsidR="00000000" w:rsidRPr="00000000">
        <w:rPr>
          <w:rtl w:val="0"/>
        </w:rPr>
        <w:t xml:space="preserve"> відповідно до очікуваного результату.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Перевірка покриття пласких сторін приладу на предмет працездатності стирання фарби нанесеної маркером</w:t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Шлях виконання тестування: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Прибрати фарбу (зтерти) з поверхні з відповідним покриттям за допомогою губки, що йде в комплекті з приладом;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Звернути увагу на зміну вигляду поверхні відповідно до прибраної від фарби ділянки на покритті.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  <w:t xml:space="preserve">Очіукваний результат: </w:t>
      </w:r>
      <w:r w:rsidDel="00000000" w:rsidR="00000000" w:rsidRPr="00000000">
        <w:rPr>
          <w:rtl w:val="0"/>
        </w:rPr>
        <w:t xml:space="preserve">поверхня змінює вигляд відповідно до прибраної від фарби ділянки на покритті за допомогою губки з комплекту.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b w:val="1"/>
          <w:rtl w:val="0"/>
        </w:rPr>
        <w:tab/>
        <w:t xml:space="preserve">Фактичний результат: </w:t>
      </w:r>
      <w:r w:rsidDel="00000000" w:rsidR="00000000" w:rsidRPr="00000000">
        <w:rPr>
          <w:rtl w:val="0"/>
        </w:rPr>
        <w:t xml:space="preserve">відповідно до очікуваного результату.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spacing w:line="360" w:lineRule="auto"/>
        <w:ind w:left="720" w:hanging="360"/>
        <w:jc w:val="center"/>
        <w:rPr/>
      </w:pPr>
      <w:bookmarkStart w:colFirst="0" w:colLast="0" w:name="_glbpnhbr514p" w:id="5"/>
      <w:bookmarkEnd w:id="5"/>
      <w:r w:rsidDel="00000000" w:rsidR="00000000" w:rsidRPr="00000000">
        <w:rPr>
          <w:rtl w:val="0"/>
        </w:rPr>
        <w:t xml:space="preserve">Негативний сценарій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Перевірка працездатності приладу на предмет роботи у мережі з підвищенною напругою 24V</w:t>
      </w:r>
    </w:p>
    <w:p w:rsidR="00000000" w:rsidDel="00000000" w:rsidP="00000000" w:rsidRDefault="00000000" w:rsidRPr="00000000" w14:paraId="0000002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Шлях виконання тестування: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Підключити світильник до джерела живлення з напругою 24V замість 5V;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Звернути увагу на поведінку приладу (чи вмикається, чи змінюється освітлення, чи виникають несправності).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Очікуваний результат: </w:t>
      </w:r>
      <w:r w:rsidDel="00000000" w:rsidR="00000000" w:rsidRPr="00000000">
        <w:rPr>
          <w:rtl w:val="0"/>
        </w:rPr>
        <w:t xml:space="preserve">світильник не повинен функціонувати, щоб уникнути пошкодження. Можлива поява запаху горілого або короткого замикання через невідповідність напруги.</w:t>
        <w:br w:type="textWrapping"/>
        <w:tab/>
      </w:r>
      <w:r w:rsidDel="00000000" w:rsidR="00000000" w:rsidRPr="00000000">
        <w:rPr>
          <w:b w:val="1"/>
          <w:rtl w:val="0"/>
        </w:rPr>
        <w:t xml:space="preserve">Фактичний результат</w:t>
      </w:r>
      <w:r w:rsidDel="00000000" w:rsidR="00000000" w:rsidRPr="00000000">
        <w:rPr>
          <w:rtl w:val="0"/>
        </w:rPr>
        <w:t xml:space="preserve">: світильник перестав працювати після підключення, виник запах перегріву.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Перевірка покриття пласких сторін приладу на предмет працездатності з іншим маркером (не з комплекту)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Шлях виконання тестування: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Використати маркер із фарбою, яка має іншу формулу (наприклад, перманентний маркер або фарбу низької якості);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Нанести довільний малюнок на поверхню світильника та звернути увагу на стан покриття після нанесення відповідної фарби.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ab/>
        <w:t xml:space="preserve">Очікуваний результат: </w:t>
      </w:r>
      <w:r w:rsidDel="00000000" w:rsidR="00000000" w:rsidRPr="00000000">
        <w:rPr>
          <w:rtl w:val="0"/>
        </w:rPr>
        <w:t xml:space="preserve">фарба залишає плями або виглядає не натурально.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ab/>
        <w:t xml:space="preserve">Фактичний результат: </w:t>
      </w:r>
      <w:r w:rsidDel="00000000" w:rsidR="00000000" w:rsidRPr="00000000">
        <w:rPr>
          <w:rtl w:val="0"/>
        </w:rPr>
        <w:t xml:space="preserve">відповідно до очікуваного результату.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Перевірка покриття пласких сторін приладу на предмет працездатності стирання фарби нанесеної іншим маркером (не з комплекту)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Шлях відтворення: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Спробувати стерти фарбу губкою з комплекту;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Звернути увагу на стан поверхні після стирання.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ab/>
        <w:t xml:space="preserve">Очікуваний результат:</w:t>
      </w:r>
      <w:r w:rsidDel="00000000" w:rsidR="00000000" w:rsidRPr="00000000">
        <w:rPr>
          <w:rtl w:val="0"/>
        </w:rPr>
        <w:t xml:space="preserve"> фарба не повинна повністю видалятися губкою. Можливе пошкодження покриття або залишки кольору на поверхні.</w:t>
        <w:br w:type="textWrapping"/>
      </w:r>
      <w:r w:rsidDel="00000000" w:rsidR="00000000" w:rsidRPr="00000000">
        <w:rPr>
          <w:b w:val="1"/>
          <w:rtl w:val="0"/>
        </w:rPr>
        <w:tab/>
        <w:t xml:space="preserve">Фактичний результат:</w:t>
      </w:r>
      <w:r w:rsidDel="00000000" w:rsidR="00000000" w:rsidRPr="00000000">
        <w:rPr>
          <w:rtl w:val="0"/>
        </w:rPr>
        <w:t xml:space="preserve"> фарба залишилася на поверхні навіть після численних спроб стерти її губкою. Залишилися темні сліди (розводи).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ind w:left="720" w:hanging="360"/>
        <w:jc w:val="center"/>
        <w:rPr/>
      </w:pPr>
      <w:bookmarkStart w:colFirst="0" w:colLast="0" w:name="_deps123dsmoe" w:id="6"/>
      <w:bookmarkEnd w:id="6"/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Я обрав цю перевірку, тому що вважаю що вона найзручніша та найбільш підходяща у даному випадку, адже т</w:t>
      </w:r>
      <w:r w:rsidDel="00000000" w:rsidR="00000000" w:rsidRPr="00000000">
        <w:rPr>
          <w:rtl w:val="0"/>
        </w:rPr>
        <w:t xml:space="preserve">естування як позитивних, так і негативних сценаріїв, в конкретному випадку дозволяє оцінити стійкість та обмеження пристрою, а також допомагає визначити критичні моменти у використанні. Це корисно для формування рекомендацій щодо експлуатації та підвищення надійності пристрою (наприклад, при формуванні демонстраційного відгуку).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1"/>
          <w:numId w:val="2"/>
        </w:numPr>
        <w:ind w:left="1440" w:hanging="360"/>
        <w:jc w:val="left"/>
        <w:rPr/>
      </w:pPr>
      <w:bookmarkStart w:colFirst="0" w:colLast="0" w:name="_bwnmie5xvtuy" w:id="7"/>
      <w:bookmarkEnd w:id="7"/>
      <w:r w:rsidDel="00000000" w:rsidR="00000000" w:rsidRPr="00000000">
        <w:rPr>
          <w:rtl w:val="0"/>
        </w:rPr>
        <w:t xml:space="preserve">Своїми словами поясни визначення валідації та верифікації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Обидва терміни, перш за все, викликають у мене асоціацію з словами-англіцизмами - validation та verification відповідно.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Звичайно ж, що у перекладі обидва ці слова будуть перекладатись як “первірка” та “підтвердження”, але особисто для мене слова: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Верифікація</w:t>
      </w:r>
      <w:r w:rsidDel="00000000" w:rsidR="00000000" w:rsidRPr="00000000">
        <w:rPr>
          <w:rtl w:val="0"/>
        </w:rPr>
        <w:t xml:space="preserve"> - це коли процес перевірки спрямований на </w:t>
      </w:r>
      <w:r w:rsidDel="00000000" w:rsidR="00000000" w:rsidRPr="00000000">
        <w:rPr>
          <w:b w:val="1"/>
          <w:rtl w:val="0"/>
        </w:rPr>
        <w:t xml:space="preserve">відповідність</w:t>
      </w:r>
      <w:r w:rsidDel="00000000" w:rsidR="00000000" w:rsidRPr="00000000">
        <w:rPr>
          <w:rtl w:val="0"/>
        </w:rPr>
        <w:t xml:space="preserve"> саме </w:t>
      </w:r>
      <w:r w:rsidDel="00000000" w:rsidR="00000000" w:rsidRPr="00000000">
        <w:rPr>
          <w:b w:val="1"/>
          <w:rtl w:val="0"/>
        </w:rPr>
        <w:t xml:space="preserve">вимогам</w:t>
      </w:r>
      <w:r w:rsidDel="00000000" w:rsidR="00000000" w:rsidRPr="00000000">
        <w:rPr>
          <w:rtl w:val="0"/>
        </w:rPr>
        <w:t xml:space="preserve"> чогось. Наприклад: “Чи відповідає вимогам ISO куплений світильник?”, що перевірявся в попередньому підрозділі;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Валідація</w:t>
      </w:r>
      <w:r w:rsidDel="00000000" w:rsidR="00000000" w:rsidRPr="00000000">
        <w:rPr>
          <w:rtl w:val="0"/>
        </w:rPr>
        <w:t xml:space="preserve"> - це процес перевірки </w:t>
      </w:r>
      <w:r w:rsidDel="00000000" w:rsidR="00000000" w:rsidRPr="00000000">
        <w:rPr>
          <w:b w:val="1"/>
          <w:rtl w:val="0"/>
        </w:rPr>
        <w:t xml:space="preserve">правильності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вимог </w:t>
      </w:r>
      <w:r w:rsidDel="00000000" w:rsidR="00000000" w:rsidRPr="00000000">
        <w:rPr>
          <w:rtl w:val="0"/>
        </w:rPr>
        <w:t xml:space="preserve">для конкретного кейсу. Наприклад: “Чи правильна форма лампи накалювання для майбутнього розроблюваного світильника?”, що перевірявся в попередньому підрозділі.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А взагалі, як на мене, щоб легко та швидко запам’ятати різницю між термінами, слід лише запам’ятати два ключових речення для себе: “</w:t>
      </w:r>
      <w:r w:rsidDel="00000000" w:rsidR="00000000" w:rsidRPr="00000000">
        <w:rPr>
          <w:b w:val="1"/>
          <w:rtl w:val="0"/>
        </w:rPr>
        <w:t xml:space="preserve">Верифікація конкретного кейсу на відповідность вимогам</w:t>
      </w:r>
      <w:r w:rsidDel="00000000" w:rsidR="00000000" w:rsidRPr="00000000">
        <w:rPr>
          <w:rtl w:val="0"/>
        </w:rPr>
        <w:t xml:space="preserve">” та “</w:t>
      </w:r>
      <w:r w:rsidDel="00000000" w:rsidR="00000000" w:rsidRPr="00000000">
        <w:rPr>
          <w:b w:val="1"/>
          <w:rtl w:val="0"/>
        </w:rPr>
        <w:t xml:space="preserve">Валідація вимог відповідно конкретного кейсу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2"/>
        </w:numPr>
        <w:spacing w:after="0" w:afterAutospacing="0"/>
        <w:ind w:left="720" w:hanging="360"/>
        <w:jc w:val="left"/>
        <w:rPr/>
      </w:pPr>
      <w:bookmarkStart w:colFirst="0" w:colLast="0" w:name="_vmnimpt0abci" w:id="8"/>
      <w:bookmarkEnd w:id="8"/>
      <w:r w:rsidDel="00000000" w:rsidR="00000000" w:rsidRPr="00000000">
        <w:rPr>
          <w:rtl w:val="0"/>
        </w:rPr>
        <w:t xml:space="preserve">Beet Sprout</w:t>
      </w:r>
    </w:p>
    <w:p w:rsidR="00000000" w:rsidDel="00000000" w:rsidP="00000000" w:rsidRDefault="00000000" w:rsidRPr="00000000" w14:paraId="00000044">
      <w:pPr>
        <w:pStyle w:val="Heading3"/>
        <w:numPr>
          <w:ilvl w:val="1"/>
          <w:numId w:val="2"/>
        </w:numPr>
        <w:spacing w:before="0" w:beforeAutospacing="0"/>
        <w:ind w:left="1440" w:hanging="360"/>
        <w:jc w:val="left"/>
      </w:pPr>
      <w:bookmarkStart w:colFirst="0" w:colLast="0" w:name="_7ihiz5he5q94" w:id="9"/>
      <w:bookmarkEnd w:id="9"/>
      <w:r w:rsidDel="00000000" w:rsidR="00000000" w:rsidRPr="00000000">
        <w:rPr>
          <w:rtl w:val="0"/>
        </w:rPr>
        <w:t xml:space="preserve">Склади порівняльну таблицю різних видів компаній. Вкажи плюси та мінуси кожної з них (з точки зору працівника)</w:t>
      </w:r>
    </w:p>
    <w:tbl>
      <w:tblPr>
        <w:tblStyle w:val="Table1"/>
        <w:tblW w:w="141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6105"/>
        <w:gridCol w:w="6090"/>
        <w:tblGridChange w:id="0">
          <w:tblGrid>
            <w:gridCol w:w="1905"/>
            <w:gridCol w:w="6105"/>
            <w:gridCol w:w="60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Вид компанії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Плюси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Мінуси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Стабільність і передбачуваність роботи та кар'єрного росту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Можлива монотонність через фокус на нерізноманітних задачах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Глибока залученість у розвиток продукту та взаємодія в команді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Часто відсутня різноманітність проєктів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Можливості для росту всередині компанії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Залежність від успіху проєкту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Чітке бачення місії та цілей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Часто чіткий ропозділ людей під кожну роль, а отже багато людей в команді = більше коннектів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Startup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Великий потенціал швидкого кар’єрного росту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Високий рівень ризиків (нестабільне фінансування, можлива ліквідація проєкту)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Можливість працювати над інноваційними ідеями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Перевантаження роботою через обмежені ресурси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Гнучкість у робочих процесах - від нетехнічних до найнепередбачуваніших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Відсутність достатніх технічних знань як можливий шлях до припинення роботи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Атмосфера ентузіазму та щільна комунікація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Outsource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Висока різноманітність проєктів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Відсутність контролю над кінцевим продуктом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Можливість роботи з різними клієнтами та технологіями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Часто обмежений вплив на процес прийняття рішень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Високі стандарти роботи (наприклад, міжнародні клієнти)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Менший зв’язок із клієнтом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Відсутність достатніх технічних знань як можливий шлях до припинення роботи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Outstaff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Робота безпосередньо з клієнтами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Немає інтеграції в команду замовника - працюємо "на льоту"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Часто вищі зарплати порівняно з аутсорсом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Відсутність корпоративної культури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Можливість працювати у великих міжнародних командах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Ризик втрати роботи після завершення контракту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Academy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Можливість навчатися і рости професійно, за участі ментору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Низька або відсутня зарплата під час навчання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Інвестування у кар’єру на початкових етапах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Обмеженість в отриманні практичного досвіду у реальних проєктах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Атмосфера підтримки та наставництва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Recruitment Agency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Доступ до багатьох вакансій і можливостей на ринку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Відсутність стабільності (може залежати від кількості успішно закритих вакансій)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Розуміння вимог роботодавців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Можлива поверховість у роботі з технічними навичками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Корисні зв’язки в індустрії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1"/>
          <w:numId w:val="2"/>
        </w:numPr>
        <w:ind w:left="1440" w:hanging="360"/>
      </w:pPr>
      <w:bookmarkStart w:colFirst="0" w:colLast="0" w:name="_1ann20egq70r" w:id="10"/>
      <w:bookmarkEnd w:id="10"/>
      <w:r w:rsidDel="00000000" w:rsidR="00000000" w:rsidRPr="00000000">
        <w:rPr>
          <w:rtl w:val="0"/>
        </w:rPr>
        <w:t xml:space="preserve">Наведи приклади невдалої валідації або верифікації продукту, з якими довелося зіткнутися в житті</w:t>
      </w:r>
    </w:p>
    <w:p w:rsidR="00000000" w:rsidDel="00000000" w:rsidP="00000000" w:rsidRDefault="00000000" w:rsidRPr="00000000" w14:paraId="0000008C">
      <w:pPr>
        <w:pStyle w:val="Heading4"/>
        <w:rPr/>
      </w:pPr>
      <w:bookmarkStart w:colFirst="0" w:colLast="0" w:name="_cydwetmaoagm" w:id="11"/>
      <w:bookmarkEnd w:id="11"/>
      <w:r w:rsidDel="00000000" w:rsidR="00000000" w:rsidRPr="00000000">
        <w:rPr>
          <w:b w:val="1"/>
          <w:rtl w:val="0"/>
        </w:rPr>
        <w:t xml:space="preserve">Кейс невдалої верифікації: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ід час створення свого третього навчального проєкту, який був спрямований на реалізацію застосунку, що надає можливість швидко та зручно керувати своїм VPN-сервером у телеграмі через інтерфейс телеграм-боту, я зіткнувся з цікавим кейсом невдалої верифікації. Необхідно було упевнетися, що застосунок буде працювати однаково стабільно під час підвищенного навантаження у вигляді декількох користувачів (хоча б більше одного).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 xml:space="preserve">Так як застосунок виступав безпосереднім посередником між користувачем та сервером, більшість функціоналу була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CPU-bound</w:t>
        </w:r>
      </w:hyperlink>
      <w:r w:rsidDel="00000000" w:rsidR="00000000" w:rsidRPr="00000000">
        <w:rPr>
          <w:rtl w:val="0"/>
        </w:rPr>
        <w:t xml:space="preserve">, при цьому була окрема функція застосунку що максимально його навантажувала - і в той же час вона виступала його найголовнішою функцією, під назвою “Встановити VPN на власний сервер”. Через помилку під час проєктування застосунку з точки зору використаних технологій та мов програмування, ця функція працювала виключно для одного користувача на період виклику функціоналу і аж до завершення його роботи (по суті, в рамках лиш одного серверу).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В результаті було проведено тестування загального інтерфейсу застосунку, а також деякого додаткового і суміжного функціоналу, в тому числі функціоналу встановлення VPN за домогою автоматизованих тестів, а от ретельне мануальне тестування встановлення VPN не було проведено - хоча технічно, це був єдиний валідний тест-кейс для цієї конкретної ситуації.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Якщо коротко - довелось переписувати весь застосунок під інший фреймворк та навіть обрати іншу низку БД - так я познайомився з терміном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Технічний борг</w:t>
        </w:r>
      </w:hyperlink>
      <w:r w:rsidDel="00000000" w:rsidR="00000000" w:rsidRPr="00000000">
        <w:rPr>
          <w:rtl w:val="0"/>
        </w:rPr>
        <w:t xml:space="preserve">” та з новими технологіями :) </w:t>
      </w:r>
    </w:p>
    <w:p w:rsidR="00000000" w:rsidDel="00000000" w:rsidP="00000000" w:rsidRDefault="00000000" w:rsidRPr="00000000" w14:paraId="00000091">
      <w:pPr>
        <w:pStyle w:val="Heading4"/>
        <w:ind w:left="0" w:firstLine="0"/>
        <w:rPr/>
      </w:pPr>
      <w:bookmarkStart w:colFirst="0" w:colLast="0" w:name="_5wr6hnnt9bg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rPr/>
      </w:pPr>
      <w:bookmarkStart w:colFirst="0" w:colLast="0" w:name="_5nqi4sy5b58w" w:id="13"/>
      <w:bookmarkEnd w:id="13"/>
      <w:r w:rsidDel="00000000" w:rsidR="00000000" w:rsidRPr="00000000">
        <w:rPr>
          <w:rtl w:val="0"/>
        </w:rPr>
        <w:t xml:space="preserve">Кейс невдалої валідації: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Цей кейс також буде пов’язаний з навчальними проектами, але в цей час буде більш простим та демонстративним.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Під час написання фінальної кваліфікаційної роботи на 4 курсі навчання, я неоднократно стикався з необхідністю знаходити компроміси між встановленим ДСТУ та творчою складовою, якою була наповнена моя робота. Через те, що ця робота створювалась у групі людей, а не наодинці як це мало би бути, тільки це вже закладало плутанину для научного керівника - іноді він навіть не знав, що порекомендувати для деяких конкретних кейсів, а тому доводилось викручуватись за допомогою власної фантазії та звичайного розуму :) 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Доволі належним прикладом такої плутанини є обмеження на кількість сторінок кваліфікаційної роботи - обмеження в 50 сторінок формату А4 було встановлено для всіх робіт Університету для ступені бакаларву. Але завдяки плідній роботі научного керівника та викладачів, це обмеження було проігноровано для нашої команди - а отже, валідація одної з вимог не була успішною для ДСТУ відповідно до написаної мною кваліфікаційної роботи. Досі не зрозуміло, навіщо було обмежувати студентів кількістю сторінок їхнє особисте бачення та плід творчої роботи…</w:t>
      </w:r>
    </w:p>
    <w:sectPr>
      <w:pgSz w:h="16838" w:w="11906" w:orient="portrait"/>
      <w:pgMar w:bottom="1133.8582677165355" w:top="1133.8582677165355" w:left="1559.055118110236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  <w:jc w:val="left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ind w:left="2160" w:hanging="36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CPU-bound" TargetMode="External"/><Relationship Id="rId7" Type="http://schemas.openxmlformats.org/officeDocument/2006/relationships/hyperlink" Target="https://en.wikipedia.org/wiki/Technical_deb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