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CF5EF" w14:textId="41A0693D" w:rsidR="00917AC8" w:rsidRPr="00322386" w:rsidRDefault="006D0104" w:rsidP="00011833">
      <w:pPr>
        <w:pStyle w:val="Title"/>
        <w:jc w:val="center"/>
        <w:rPr>
          <w:rFonts w:asciiTheme="majorBidi" w:hAnsiTheme="majorBidi" w:cstheme="majorBidi"/>
          <w:color w:val="000000" w:themeColor="text1"/>
        </w:rPr>
      </w:pPr>
      <w:bookmarkStart w:id="0" w:name="_1m9ajl5bvke1" w:colFirst="0" w:colLast="0"/>
      <w:bookmarkEnd w:id="0"/>
      <w:r w:rsidRPr="00322386">
        <w:rPr>
          <w:rFonts w:asciiTheme="majorBidi" w:hAnsiTheme="majorBidi" w:cstheme="majorBidi"/>
          <w:color w:val="000000" w:themeColor="text1"/>
        </w:rPr>
        <w:t>Astronaut mental health: A review</w:t>
      </w:r>
    </w:p>
    <w:p w14:paraId="2A044215" w14:textId="5E3B31F9" w:rsidR="006D0104" w:rsidRPr="00322386" w:rsidRDefault="00917AC8" w:rsidP="006D0104">
      <w:pPr>
        <w:pStyle w:val="Subtitle"/>
        <w:spacing w:line="480" w:lineRule="auto"/>
        <w:jc w:val="center"/>
        <w:rPr>
          <w:rFonts w:asciiTheme="majorBidi" w:hAnsiTheme="majorBidi" w:cstheme="majorBidi"/>
          <w:color w:val="000000" w:themeColor="text1"/>
        </w:rPr>
        <w:sectPr w:rsidR="006D0104" w:rsidRPr="00322386">
          <w:footerReference w:type="default" r:id="rId8"/>
          <w:pgSz w:w="12240" w:h="15840"/>
          <w:pgMar w:top="720" w:right="720" w:bottom="720" w:left="720" w:header="720" w:footer="720" w:gutter="0"/>
          <w:pgNumType w:start="1"/>
          <w:cols w:space="720"/>
        </w:sectPr>
      </w:pPr>
      <w:bookmarkStart w:id="1" w:name="_rn5k3o2vk6qm" w:colFirst="0" w:colLast="0"/>
      <w:bookmarkEnd w:id="1"/>
      <w:r w:rsidRPr="00322386">
        <w:rPr>
          <w:rFonts w:asciiTheme="majorBidi" w:hAnsiTheme="majorBidi" w:cstheme="majorBidi"/>
          <w:color w:val="000000" w:themeColor="text1"/>
        </w:rPr>
        <w:t>Leon Tannenbaum</w:t>
      </w:r>
      <w:bookmarkStart w:id="2" w:name="_us5skgcd5apn" w:colFirst="0" w:colLast="0"/>
      <w:bookmarkStart w:id="3" w:name="_q1b7t3glcke9" w:colFirst="0" w:colLast="0"/>
      <w:bookmarkStart w:id="4" w:name="_44gzq5j45d5k" w:colFirst="0" w:colLast="0"/>
      <w:bookmarkStart w:id="5" w:name="_deavyle4q9db" w:colFirst="0" w:colLast="0"/>
      <w:bookmarkEnd w:id="2"/>
      <w:bookmarkEnd w:id="3"/>
      <w:bookmarkEnd w:id="4"/>
      <w:bookmarkEnd w:id="5"/>
    </w:p>
    <w:p w14:paraId="0067DCD9" w14:textId="0BDA2B6D" w:rsidR="006D4E60" w:rsidRPr="00011833" w:rsidRDefault="006D0104" w:rsidP="003A7987">
      <w:pPr>
        <w:pStyle w:val="Heading2"/>
        <w:ind w:left="720"/>
        <w:rPr>
          <w:rFonts w:asciiTheme="majorBidi" w:hAnsiTheme="majorBidi" w:cstheme="majorBidi"/>
          <w:b/>
          <w:bCs/>
          <w:color w:val="000000" w:themeColor="text1"/>
        </w:rPr>
      </w:pPr>
      <w:bookmarkStart w:id="6" w:name="_bcxeraxv6e4s" w:colFirst="0" w:colLast="0"/>
      <w:bookmarkEnd w:id="6"/>
      <w:r w:rsidRPr="00011833">
        <w:rPr>
          <w:rFonts w:asciiTheme="majorBidi" w:hAnsiTheme="majorBidi" w:cstheme="majorBidi"/>
          <w:b/>
          <w:bCs/>
          <w:color w:val="000000" w:themeColor="text1"/>
        </w:rPr>
        <w:t>Abstract</w:t>
      </w:r>
    </w:p>
    <w:p w14:paraId="469B2258" w14:textId="77777777" w:rsidR="006D0104" w:rsidRPr="00322386" w:rsidRDefault="006D0104" w:rsidP="006D0104">
      <w:pPr>
        <w:rPr>
          <w:rFonts w:asciiTheme="majorBidi" w:hAnsiTheme="majorBidi" w:cstheme="majorBidi"/>
          <w:color w:val="000000" w:themeColor="text1"/>
        </w:rPr>
      </w:pPr>
      <w:r w:rsidRPr="00322386">
        <w:rPr>
          <w:rFonts w:asciiTheme="majorBidi" w:hAnsiTheme="majorBidi" w:cstheme="majorBidi"/>
          <w:color w:val="000000" w:themeColor="text1"/>
        </w:rPr>
        <w:t xml:space="preserve">As space </w:t>
      </w:r>
      <w:proofErr w:type="spellStart"/>
      <w:r w:rsidRPr="00322386">
        <w:rPr>
          <w:rFonts w:asciiTheme="majorBidi" w:hAnsiTheme="majorBidi" w:cstheme="majorBidi"/>
          <w:color w:val="000000" w:themeColor="text1"/>
        </w:rPr>
        <w:t>administrations</w:t>
      </w:r>
      <w:proofErr w:type="spellEnd"/>
      <w:r w:rsidRPr="00322386">
        <w:rPr>
          <w:rFonts w:asciiTheme="majorBidi" w:hAnsiTheme="majorBidi" w:cstheme="majorBidi"/>
          <w:color w:val="000000" w:themeColor="text1"/>
        </w:rPr>
        <w:t xml:space="preserve"> begin preparations for longer term space missions, addressing the potential mental health problems that can arise in astronauts will become mission critical components for future missions.  Early American mental health analysis began during NASA’s Project Mercury, astronauts with certain preferred characteristics; both physiological and psychological, would be labeled as “the right stuff.”  No longer are our missions confined to short term flights in </w:t>
      </w:r>
      <w:r w:rsidRPr="00322386">
        <w:rPr>
          <w:rFonts w:asciiTheme="majorBidi" w:hAnsiTheme="majorBidi" w:cstheme="majorBidi"/>
          <w:b/>
          <w:bCs/>
          <w:color w:val="000000" w:themeColor="text1"/>
        </w:rPr>
        <w:t>LEO</w:t>
      </w:r>
      <w:r w:rsidRPr="00322386">
        <w:rPr>
          <w:rFonts w:asciiTheme="majorBidi" w:hAnsiTheme="majorBidi" w:cstheme="majorBidi"/>
          <w:color w:val="000000" w:themeColor="text1"/>
        </w:rPr>
        <w:t xml:space="preserve"> (low earth orbit), but rather ones in preparation for a trek to the red planet.  This review attempts to address causes and problems associated with the mental health of astronauts, while concluding with monitoring and mitigation strategies and possible avenues of future research.   Problems </w:t>
      </w:r>
      <w:proofErr w:type="gramStart"/>
      <w:r w:rsidRPr="00322386">
        <w:rPr>
          <w:rFonts w:asciiTheme="majorBidi" w:hAnsiTheme="majorBidi" w:cstheme="majorBidi"/>
          <w:color w:val="000000" w:themeColor="text1"/>
        </w:rPr>
        <w:t>include:</w:t>
      </w:r>
      <w:proofErr w:type="gramEnd"/>
      <w:r w:rsidRPr="00322386">
        <w:rPr>
          <w:rFonts w:asciiTheme="majorBidi" w:hAnsiTheme="majorBidi" w:cstheme="majorBidi"/>
          <w:color w:val="000000" w:themeColor="text1"/>
        </w:rPr>
        <w:t xml:space="preserve"> interpersonal disputes among astronauts, missing family, stress, loneliness, depression.  These, among others, are problems already faced by astronauts on the </w:t>
      </w:r>
      <w:r w:rsidRPr="00322386">
        <w:rPr>
          <w:rFonts w:asciiTheme="majorBidi" w:hAnsiTheme="majorBidi" w:cstheme="majorBidi"/>
          <w:b/>
          <w:bCs/>
          <w:color w:val="000000" w:themeColor="text1"/>
        </w:rPr>
        <w:t>ISS</w:t>
      </w:r>
      <w:r w:rsidRPr="00322386">
        <w:rPr>
          <w:rFonts w:asciiTheme="majorBidi" w:hAnsiTheme="majorBidi" w:cstheme="majorBidi"/>
          <w:color w:val="000000" w:themeColor="text1"/>
        </w:rPr>
        <w:t xml:space="preserve"> (International Space Station).  Naturally there is an expectation that a future lunar or Mars mission would exacerbate these problems.  It is vital that we provide our astronauts with mitigation methods such as: on staff psychologists, mixed </w:t>
      </w:r>
      <w:r w:rsidRPr="00322386">
        <w:rPr>
          <w:rFonts w:asciiTheme="majorBidi" w:hAnsiTheme="majorBidi" w:cstheme="majorBidi"/>
          <w:b/>
          <w:bCs/>
          <w:color w:val="000000" w:themeColor="text1"/>
        </w:rPr>
        <w:t>VR</w:t>
      </w:r>
      <w:r w:rsidRPr="00322386">
        <w:rPr>
          <w:rFonts w:asciiTheme="majorBidi" w:hAnsiTheme="majorBidi" w:cstheme="majorBidi"/>
          <w:color w:val="000000" w:themeColor="text1"/>
        </w:rPr>
        <w:t>/</w:t>
      </w:r>
      <w:proofErr w:type="gramStart"/>
      <w:r w:rsidRPr="00322386">
        <w:rPr>
          <w:rFonts w:asciiTheme="majorBidi" w:hAnsiTheme="majorBidi" w:cstheme="majorBidi"/>
          <w:b/>
          <w:bCs/>
          <w:color w:val="000000" w:themeColor="text1"/>
        </w:rPr>
        <w:t>VR</w:t>
      </w:r>
      <w:r w:rsidRPr="00322386">
        <w:rPr>
          <w:rFonts w:asciiTheme="majorBidi" w:hAnsiTheme="majorBidi" w:cstheme="majorBidi"/>
          <w:color w:val="000000" w:themeColor="text1"/>
        </w:rPr>
        <w:t>(</w:t>
      </w:r>
      <w:proofErr w:type="gramEnd"/>
      <w:r w:rsidRPr="00322386">
        <w:rPr>
          <w:rFonts w:asciiTheme="majorBidi" w:hAnsiTheme="majorBidi" w:cstheme="majorBidi"/>
          <w:color w:val="000000" w:themeColor="text1"/>
        </w:rPr>
        <w:t xml:space="preserve">virtual reality) architecture, adjusted exercise routines, special smells.  These developments, while a good step forward, and </w:t>
      </w:r>
      <w:proofErr w:type="spellStart"/>
      <w:proofErr w:type="gramStart"/>
      <w:r w:rsidRPr="00322386">
        <w:rPr>
          <w:rFonts w:asciiTheme="majorBidi" w:hAnsiTheme="majorBidi" w:cstheme="majorBidi"/>
          <w:color w:val="000000" w:themeColor="text1"/>
        </w:rPr>
        <w:t>a</w:t>
      </w:r>
      <w:proofErr w:type="spellEnd"/>
      <w:proofErr w:type="gramEnd"/>
      <w:r w:rsidRPr="00322386">
        <w:rPr>
          <w:rFonts w:asciiTheme="majorBidi" w:hAnsiTheme="majorBidi" w:cstheme="majorBidi"/>
          <w:color w:val="000000" w:themeColor="text1"/>
        </w:rPr>
        <w:t xml:space="preserve"> evidence of progress since the neonatal space psychology research of the Space Race era, it is clear that astronauts need more help before a mission to the red planet is appropriate.</w:t>
      </w:r>
    </w:p>
    <w:p w14:paraId="2B9033AB" w14:textId="4DA7D4DE" w:rsidR="006D4E60" w:rsidRPr="00322386" w:rsidRDefault="006D4E60">
      <w:pPr>
        <w:jc w:val="both"/>
        <w:rPr>
          <w:rFonts w:asciiTheme="majorBidi" w:hAnsiTheme="majorBidi" w:cstheme="majorBidi"/>
          <w:color w:val="000000" w:themeColor="text1"/>
        </w:rPr>
      </w:pPr>
    </w:p>
    <w:p w14:paraId="561B01DC" w14:textId="77777777" w:rsidR="006D4E60" w:rsidRPr="00322386" w:rsidRDefault="006D4E60">
      <w:pPr>
        <w:jc w:val="both"/>
        <w:rPr>
          <w:rFonts w:asciiTheme="majorBidi" w:hAnsiTheme="majorBidi" w:cstheme="majorBidi"/>
          <w:color w:val="000000" w:themeColor="text1"/>
        </w:rPr>
      </w:pPr>
    </w:p>
    <w:p w14:paraId="65233BDF" w14:textId="5FAA7CCD" w:rsidR="006D4E60" w:rsidRPr="00011833" w:rsidRDefault="00011833" w:rsidP="00011833">
      <w:pPr>
        <w:pStyle w:val="Heading3"/>
        <w:ind w:firstLine="720"/>
        <w:rPr>
          <w:rFonts w:asciiTheme="majorBidi" w:hAnsiTheme="majorBidi" w:cstheme="majorBidi"/>
          <w:b/>
          <w:bCs/>
          <w:color w:val="000000" w:themeColor="text1"/>
        </w:rPr>
      </w:pPr>
      <w:bookmarkStart w:id="7" w:name="_vpuxu4yh84dv" w:colFirst="0" w:colLast="0"/>
      <w:bookmarkEnd w:id="7"/>
      <w:r>
        <w:rPr>
          <w:rFonts w:asciiTheme="majorBidi" w:hAnsiTheme="majorBidi" w:cstheme="majorBidi"/>
          <w:b/>
          <w:bCs/>
          <w:color w:val="000000" w:themeColor="text1"/>
          <w:sz w:val="32"/>
          <w:szCs w:val="32"/>
        </w:rPr>
        <w:t>Introduction</w:t>
      </w:r>
    </w:p>
    <w:p w14:paraId="78FC90E2" w14:textId="77777777" w:rsidR="00011833" w:rsidRPr="00913C8A" w:rsidRDefault="00011833" w:rsidP="00011833">
      <w:pPr>
        <w:rPr>
          <w:rFonts w:asciiTheme="majorBidi" w:hAnsiTheme="majorBidi" w:cstheme="majorBidi"/>
        </w:rPr>
      </w:pPr>
      <w:r w:rsidRPr="00913C8A">
        <w:rPr>
          <w:rFonts w:asciiTheme="majorBidi" w:hAnsiTheme="majorBidi" w:cstheme="majorBidi"/>
        </w:rPr>
        <w:t xml:space="preserve">Space exploration is very risky.  Cosmic rays, micrometeorites, among other things, are constant dangers of human spaceflight.  Nevertheless, just as relevant are the within vehicle dangers.  Despite their extensive training and preparations, astronauts are still human and can fall victim to the dangers of mental health crises. </w:t>
      </w:r>
    </w:p>
    <w:p w14:paraId="0C4F3700" w14:textId="7489807C" w:rsidR="00011833" w:rsidRDefault="00011833" w:rsidP="00011833">
      <w:pPr>
        <w:rPr>
          <w:rFonts w:asciiTheme="majorBidi" w:hAnsiTheme="majorBidi" w:cstheme="majorBidi"/>
        </w:rPr>
      </w:pPr>
      <w:r w:rsidRPr="00913C8A">
        <w:rPr>
          <w:rFonts w:asciiTheme="majorBidi" w:hAnsiTheme="majorBidi" w:cstheme="majorBidi"/>
        </w:rPr>
        <w:t>Interorganizational endeavors have presented both new opportunities and challenges to mission planners.  No longer are space agencies building homogenous teams, but rather across the spectrum, different ethnic, educational, linguistic, national backgrounds.  While this provides ample opportunity for joint learning and pride, cultural differences can quickly arise.  Consider being an American astronaut on Mir immediately following the Soviet invasion of Afghanistan, flaring tensions could easily derail the mission, or worse bring the superpowers to a new zone of confrontation.</w:t>
      </w:r>
    </w:p>
    <w:p w14:paraId="5A130583" w14:textId="77777777" w:rsidR="00011833" w:rsidRPr="00913C8A" w:rsidRDefault="00011833" w:rsidP="00011833">
      <w:pPr>
        <w:rPr>
          <w:rFonts w:asciiTheme="majorBidi" w:hAnsiTheme="majorBidi" w:cstheme="majorBidi"/>
        </w:rPr>
      </w:pPr>
    </w:p>
    <w:p w14:paraId="55FDA914" w14:textId="26C76528" w:rsidR="00011833" w:rsidRDefault="00011833" w:rsidP="00011833">
      <w:pPr>
        <w:rPr>
          <w:rFonts w:asciiTheme="majorBidi" w:hAnsiTheme="majorBidi" w:cstheme="majorBidi"/>
        </w:rPr>
      </w:pPr>
      <w:r w:rsidRPr="00913C8A">
        <w:rPr>
          <w:rFonts w:asciiTheme="majorBidi" w:hAnsiTheme="majorBidi" w:cstheme="majorBidi"/>
        </w:rPr>
        <w:t>The invention of the semiconductor has brought a litany of new avenues of astronaut health monitoring.  Previously, flight surgeons were limited to simple heart rate monitors, cumbersome ground-based machines, and surveys.    Currently, mission control use miniature scanners, optical computer recognition technology (from cameras), and other technologies like speech recognition.  The future of space monitoring looks to be in the field of advanced biosensors; in-flight data of mental health biomarkers could be vital in helping astronauts mentally survive the hardships of space.</w:t>
      </w:r>
    </w:p>
    <w:p w14:paraId="4A807EF4" w14:textId="77777777" w:rsidR="00011833" w:rsidRPr="00913C8A" w:rsidRDefault="00011833" w:rsidP="00011833">
      <w:pPr>
        <w:rPr>
          <w:rFonts w:asciiTheme="majorBidi" w:hAnsiTheme="majorBidi" w:cstheme="majorBidi"/>
        </w:rPr>
      </w:pPr>
    </w:p>
    <w:p w14:paraId="7F4C594D" w14:textId="3E934529" w:rsidR="00011833" w:rsidRDefault="00011833" w:rsidP="00011833">
      <w:pPr>
        <w:rPr>
          <w:rFonts w:asciiTheme="majorBidi" w:hAnsiTheme="majorBidi" w:cstheme="majorBidi"/>
        </w:rPr>
      </w:pPr>
      <w:r w:rsidRPr="00913C8A">
        <w:rPr>
          <w:rFonts w:asciiTheme="majorBidi" w:hAnsiTheme="majorBidi" w:cstheme="majorBidi"/>
        </w:rPr>
        <w:t xml:space="preserve">Mitigation techniques encompass both psychological and physiological efforts.  Online mental health software modules, modified lighting schemes, occupational therapy, and exercise have all been shown to boost moods in test subjects.  As missions become longer and more dangerous, these techniques will need to be used in concert, providing astronauts a fighting chance in </w:t>
      </w:r>
      <w:r w:rsidRPr="00913C8A">
        <w:rPr>
          <w:rFonts w:asciiTheme="majorBidi" w:hAnsiTheme="majorBidi" w:cstheme="majorBidi"/>
          <w:b/>
          <w:bCs/>
        </w:rPr>
        <w:t>ICE</w:t>
      </w:r>
      <w:r w:rsidRPr="00913C8A">
        <w:rPr>
          <w:rFonts w:asciiTheme="majorBidi" w:hAnsiTheme="majorBidi" w:cstheme="majorBidi"/>
        </w:rPr>
        <w:t xml:space="preserve"> (isolated, confined, extreme), environments</w:t>
      </w:r>
      <w:r>
        <w:rPr>
          <w:rFonts w:asciiTheme="majorBidi" w:hAnsiTheme="majorBidi" w:cstheme="majorBidi"/>
        </w:rPr>
        <w:t>.</w:t>
      </w:r>
    </w:p>
    <w:p w14:paraId="32D10CAA" w14:textId="18DF9646" w:rsidR="00011833" w:rsidRDefault="00011833" w:rsidP="00011833">
      <w:pPr>
        <w:rPr>
          <w:rFonts w:asciiTheme="majorBidi" w:hAnsiTheme="majorBidi" w:cstheme="majorBidi"/>
        </w:rPr>
      </w:pPr>
    </w:p>
    <w:p w14:paraId="20144D0E" w14:textId="77777777" w:rsidR="00011833" w:rsidRPr="00913C8A" w:rsidRDefault="00011833" w:rsidP="00011833">
      <w:pPr>
        <w:rPr>
          <w:rFonts w:asciiTheme="majorBidi" w:hAnsiTheme="majorBidi" w:cstheme="majorBidi"/>
        </w:rPr>
      </w:pPr>
      <w:r w:rsidRPr="00913C8A">
        <w:rPr>
          <w:rFonts w:asciiTheme="majorBidi" w:hAnsiTheme="majorBidi" w:cstheme="majorBidi"/>
        </w:rPr>
        <w:t>The purpose of this literature review is to identify the causes, problems being faced, monitoring methods, and possible solutions to the mental health challenges that astronauts face, and will continue to face in the years ahead.   In sifting through academic, government, and industry research this paper will be divided into the four sections labeled in the previous sentence, and attempt to pinpoint the contemporary research, historical context, and ideas for the future to come.</w:t>
      </w:r>
    </w:p>
    <w:p w14:paraId="5494BDF7" w14:textId="77777777" w:rsidR="00011833" w:rsidRPr="00913C8A" w:rsidRDefault="00011833" w:rsidP="00011833">
      <w:pPr>
        <w:rPr>
          <w:rFonts w:asciiTheme="majorBidi" w:hAnsiTheme="majorBidi" w:cstheme="majorBidi"/>
        </w:rPr>
      </w:pPr>
    </w:p>
    <w:p w14:paraId="4C999DD8" w14:textId="77777777" w:rsidR="006D4E60" w:rsidRPr="00322386" w:rsidRDefault="006D4E60">
      <w:pPr>
        <w:jc w:val="both"/>
        <w:rPr>
          <w:rFonts w:asciiTheme="majorBidi" w:hAnsiTheme="majorBidi" w:cstheme="majorBidi"/>
          <w:color w:val="000000" w:themeColor="text1"/>
        </w:rPr>
      </w:pPr>
    </w:p>
    <w:p w14:paraId="3C4950E5" w14:textId="77777777" w:rsidR="006D4E60" w:rsidRPr="00322386" w:rsidRDefault="00063B85">
      <w:pPr>
        <w:jc w:val="both"/>
        <w:rPr>
          <w:rFonts w:asciiTheme="majorBidi" w:hAnsiTheme="majorBidi" w:cstheme="majorBidi"/>
          <w:i/>
          <w:color w:val="000000" w:themeColor="text1"/>
        </w:rPr>
      </w:pPr>
      <w:r w:rsidRPr="00322386">
        <w:rPr>
          <w:rFonts w:asciiTheme="majorBidi" w:hAnsiTheme="majorBidi" w:cstheme="majorBidi"/>
          <w:i/>
          <w:color w:val="000000" w:themeColor="text1"/>
        </w:rPr>
        <w:tab/>
        <w:t>Isolated, Confined, Extreme</w:t>
      </w:r>
    </w:p>
    <w:p w14:paraId="63B12A78" w14:textId="77777777" w:rsidR="006D4E60" w:rsidRPr="00322386" w:rsidRDefault="006D4E60">
      <w:pPr>
        <w:jc w:val="both"/>
        <w:rPr>
          <w:rFonts w:asciiTheme="majorBidi" w:hAnsiTheme="majorBidi" w:cstheme="majorBidi"/>
          <w:i/>
          <w:color w:val="000000" w:themeColor="text1"/>
        </w:rPr>
      </w:pPr>
    </w:p>
    <w:p w14:paraId="1EB73029" w14:textId="7BF5E0BC"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Isolated, confined, and extreme environments, or ICE environments, have been studied in anecdotal historical accounts </w:t>
      </w:r>
      <w:r w:rsidR="005A42C9" w:rsidRPr="00322386">
        <w:rPr>
          <w:rFonts w:asciiTheme="majorBidi" w:hAnsiTheme="majorBidi" w:cstheme="majorBidi"/>
          <w:color w:val="000000" w:themeColor="text1"/>
        </w:rPr>
        <w:fldChar w:fldCharType="begin" w:fldLock="1"/>
      </w:r>
      <w:r w:rsidR="005A42C9" w:rsidRPr="00322386">
        <w:rPr>
          <w:rFonts w:asciiTheme="majorBidi" w:hAnsiTheme="majorBidi" w:cstheme="majorBidi"/>
          <w:color w:val="000000" w:themeColor="text1"/>
        </w:rPr>
        <w:instrText>ADDIN CSL_CITATION {"citationItems":[{"id":"ITEM-1","itemData":{"ISSN":"1089988X","PMID":"11543280","abstract":"Anecdotal comparisons frequently are made between expeditions of the past and space missions of the future. Spacecraft are far more complex than sailing ships, but from a psychological perspective, the differences are few between confinement in a small wooden ship locked in the polar ice cap and confinement in a small high-technology ship hurtling through interplanetary space. This paper discusses some of the behavioral lessons that can be learned from previous expeditions and applied to facilitate human adjustment and performance during future space expeditions of long duration.","author":[{"dropping-particle":"","family":"Stuster","given":"Jack W","non-dropping-particle":"","parse-names":false,"suffix":""}],"container-title":"Gravitational and space biology bulletin : publication of the American Society for Gravitational and Space Biology","id":"ITEM-1","issue":"2","issued":{"date-parts":[["2000","5","14"]]},"page":"49-57","title":"Bold endeavors: behavioral lessons from polar and space exploration.","type":"article-journal","volume":"13"},"uris":["http://www.mendeley.com/documents/?uuid=9a5cdc29-0a50-3b29-b745-5f51f7a547b7"]}],"mendeley":{"formattedCitation":"[2]","plainTextFormattedCitation":"[2]","previouslyFormattedCitation":"[2]"},"properties":{"noteIndex":0},"schema":"https://github.com/citation-style-language/schema/raw/master/csl-citation.json"}</w:instrText>
      </w:r>
      <w:r w:rsidR="005A42C9" w:rsidRPr="00322386">
        <w:rPr>
          <w:rFonts w:asciiTheme="majorBidi" w:hAnsiTheme="majorBidi" w:cstheme="majorBidi"/>
          <w:color w:val="000000" w:themeColor="text1"/>
        </w:rPr>
        <w:fldChar w:fldCharType="separate"/>
      </w:r>
      <w:r w:rsidR="005A42C9" w:rsidRPr="00322386">
        <w:rPr>
          <w:rFonts w:asciiTheme="majorBidi" w:hAnsiTheme="majorBidi" w:cstheme="majorBidi"/>
          <w:noProof/>
          <w:color w:val="000000" w:themeColor="text1"/>
        </w:rPr>
        <w:t>[2]</w:t>
      </w:r>
      <w:r w:rsidR="005A42C9"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laboratory-based simulations</w:t>
      </w:r>
      <w:r w:rsidR="005A42C9" w:rsidRPr="00322386">
        <w:rPr>
          <w:rFonts w:asciiTheme="majorBidi" w:hAnsiTheme="majorBidi" w:cstheme="majorBidi"/>
          <w:color w:val="000000" w:themeColor="text1"/>
        </w:rPr>
        <w:t xml:space="preserve"> </w:t>
      </w:r>
      <w:r w:rsidR="005A42C9" w:rsidRPr="00322386">
        <w:rPr>
          <w:rFonts w:asciiTheme="majorBidi" w:hAnsiTheme="majorBidi" w:cstheme="majorBidi"/>
          <w:color w:val="000000" w:themeColor="text1"/>
        </w:rPr>
        <w:fldChar w:fldCharType="begin" w:fldLock="1"/>
      </w:r>
      <w:r w:rsidR="005A42C9" w:rsidRPr="00322386">
        <w:rPr>
          <w:rFonts w:asciiTheme="majorBidi" w:hAnsiTheme="majorBidi" w:cstheme="majorBidi"/>
          <w:color w:val="000000" w:themeColor="text1"/>
        </w:rPr>
        <w:instrText>ADDIN CSL_CITATION {"citationItems":[{"id":"ITEM-1","itemData":{"DOI":"10.1073/pnas.1212646110","ISSN":"10916490","PMID":"23297197","abstract":"The success of interplanetary human spaceflight will depend on many factors, including the behavioral activity levels, sleep, and circadian timing of crews exposed to prolonged microgravity and confinement. To address the effects of the latter, we used a high-fidelity ground simulation of a Mars mission to objectively track sleep-wake dynamics in a multinational crew of six during 520 d of confined isolation. Measurements included continuous recordings of wrist actigraphy and light exposure (4.396 million min) and weekly computer-based neurobehavioral assessments (n = 888) to identify changes in the crew's activity levels, sleep quantity and quality, sleep-wake periodicity, vigilance performance, and workload throughout the record-long 17 mo of mission confinement. Actigraphy revealed that crew sedentariness increased across the mission as evident in decreased waking movement (i.e., hypokinesis) and increased sleep and rest times. Light exposure decreased during the mission. The majority of crewmembers also experienced one or more disturbances of sleep quality, vigilance deficits, or altered sleep-wake periodicity and timing, suggesting inadequate circadian entrainment. The results point to the need to identify markers of differential vulnerability to hypokinesis and sleep-wake changes during the prolonged isolation of exploration spaceflight and the need to ensure maintenance of circadian entrainment, sleep quantity and quality, and optimal activity levels during exploration missions. Therefore, successful adaptation to such missions will require crew to transit in spacecraft and live in surface habitats that instantiate aspects of Earth's geophysical signals (appropriately timed light exposure, food intake, exercise) required for temporal organization and maintenance of human behavior.","author":[{"dropping-particle":"","family":"Basner","given":"Mathias","non-dropping-particle":"","parse-names":false,"suffix":""},{"dropping-particle":"","family":"Dinges","given":"David F.","non-dropping-particle":"","parse-names":false,"suffix":""},{"dropping-particle":"","family":"Mollicone","given":"Daniel","non-dropping-particle":"","parse-names":false,"suffix":""},{"dropping-particle":"","family":"Ecker","given":"Adrian","non-dropping-particle":"","parse-names":false,"suffix":""},{"dropping-particle":"","family":"Jones","given":"Christopher W.","non-dropping-particle":"","parse-names":false,"suffix":""},{"dropping-particle":"","family":"Hyder","given":"Eric C.","non-dropping-particle":"","parse-names":false,"suffix":""},{"dropping-particle":"","family":"Antonio","given":"Adrian","non-dropping-particle":"Di","parse-names":false,"suffix":""},{"dropping-particle":"","family":"Savelev","given":"Igor","non-dropping-particle":"","parse-names":false,"suffix":""},{"dropping-particle":"","family":"Kan","given":"Kevin","non-dropping-particle":"","parse-names":false,"suffix":""},{"dropping-particle":"","family":"Goel","given":"Namni","non-dropping-particle":"","parse-names":false,"suffix":""},{"dropping-particle":"V.","family":"Morukov","given":"Boris","non-dropping-particle":"","parse-names":false,"suffix":""},{"dropping-particle":"","family":"Sutton","given":"Jeffrey P.","non-dropping-particle":"","parse-names":false,"suffix":""}],"container-title":"Proceedings of the National Academy of Sciences of the United States of America","id":"ITEM-1","issue":"7","issued":{"date-parts":[["2013","2","12"]]},"page":"2635-2640","publisher":"National Academy of Sciences","title":"Mars 520-d mission simulation reveals protracted crew hypokinesis and alterations of sleep duration and timing","type":"article-journal","volume":"110"},"uris":["http://www.mendeley.com/documents/?uuid=5d2b2041-77ff-3489-88b2-78a633bfe5c9"]},{"id":"ITEM-2","itemData":{"DOI":"10.1371/journal.pone.0060090","ISSN":"19326203","PMID":"23555896","abstract":"To understand whether prolonged confinement results in reductions in physical activity and adaptation in the musculoskeletal system, six subjects were measured during 520 d isolation in the Mars500 study. We tested the hypothesis that physical activity reduces in prolonged confinement and that this would be associated with decrements of neuromuscular performance. Physical activity, as measured by average acceleration of the body's center of mass (\"activity temperature\") using the actibelt® device, decreased progressively over the course of isolation (p&lt;0.00001). Concurrently, countermovement jump power and single-leg hop force decreased during isolation (p&lt;0.001) whilst grip force did not change (p≥0.14). Similar to other models of inactivity, greater decrements of neuromuscular performance occurred in the lower-limb than in the upper-limb. Subject motivational state increased non-significantly (p = 0.20) during isolation, suggesting reductions in lower-limb neuromuscular performance were unrelated to motivation. Overall, we conclude that prolonged confinement is a form of physical inactivity and is associated with adaptation in the neuromuscular system. © 2013 Belavý et al.","author":[{"dropping-particle":"","family":"Belavý","given":"Daniel L.","non-dropping-particle":"","parse-names":false,"suffix":""},{"dropping-particle":"","family":"Gast","given":"Ulf","non-dropping-particle":"","parse-names":false,"suffix":""},{"dropping-particle":"","family":"Daumer","given":"Martin","non-dropping-particle":"","parse-names":false,"suffix":""},{"dropping-particle":"","family":"Fomina","given":"Elena","non-dropping-particle":"","parse-names":false,"suffix":""},{"dropping-particle":"","family":"Rawer","given":"Rainer","non-dropping-particle":"","parse-names":false,"suffix":""},{"dropping-particle":"","family":"Schießl","given":"Hans","non-dropping-particle":"","parse-names":false,"suffix":""},{"dropping-particle":"","family":"Schneider","given":"Stefan","non-dropping-particle":"","parse-names":false,"suffix":""},{"dropping-particle":"","family":"Schubert","given":"Harald","non-dropping-particle":"","parse-names":false,"suffix":""},{"dropping-particle":"","family":"Soaz","given":"Cristina","non-dropping-particle":"","parse-names":false,"suffix":""},{"dropping-particle":"","family":"Felsenberg","given":"Dieter","non-dropping-particle":"","parse-names":false,"suffix":""}],"container-title":"PLoS ONE","id":"ITEM-2","issue":"3","issued":{"date-parts":[["2013","3","28"]]},"page":"e60090","publisher":"Public Library of Science","title":"Progressive Adaptation in Physical Activity and Neuromuscular Performance during 520d Confinement","type":"article-journal","volume":"8"},"uris":["http://www.mendeley.com/documents/?uuid=450aa89f-c64a-3ef4-9c0a-3330aaceb2b9"]}],"mendeley":{"formattedCitation":"[3], [4]","plainTextFormattedCitation":"[3], [4]","previouslyFormattedCitation":"[3], [4]"},"properties":{"noteIndex":0},"schema":"https://github.com/citation-style-language/schema/raw/master/csl-citation.json"}</w:instrText>
      </w:r>
      <w:r w:rsidR="005A42C9" w:rsidRPr="00322386">
        <w:rPr>
          <w:rFonts w:asciiTheme="majorBidi" w:hAnsiTheme="majorBidi" w:cstheme="majorBidi"/>
          <w:color w:val="000000" w:themeColor="text1"/>
        </w:rPr>
        <w:fldChar w:fldCharType="separate"/>
      </w:r>
      <w:r w:rsidR="005A42C9" w:rsidRPr="00322386">
        <w:rPr>
          <w:rFonts w:asciiTheme="majorBidi" w:hAnsiTheme="majorBidi" w:cstheme="majorBidi"/>
          <w:noProof/>
          <w:color w:val="000000" w:themeColor="text1"/>
        </w:rPr>
        <w:t>[3], [4]</w:t>
      </w:r>
      <w:r w:rsidR="005A42C9"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and in remote locations </w:t>
      </w:r>
      <w:r w:rsidR="005A42C9" w:rsidRPr="00322386">
        <w:rPr>
          <w:rFonts w:asciiTheme="majorBidi" w:hAnsiTheme="majorBidi" w:cstheme="majorBidi"/>
          <w:color w:val="000000" w:themeColor="text1"/>
        </w:rPr>
        <w:fldChar w:fldCharType="begin" w:fldLock="1"/>
      </w:r>
      <w:r w:rsidR="00570A14" w:rsidRPr="00322386">
        <w:rPr>
          <w:rFonts w:asciiTheme="majorBidi" w:hAnsiTheme="majorBidi" w:cstheme="majorBidi"/>
          <w:color w:val="000000" w:themeColor="text1"/>
        </w:rPr>
        <w:instrText>ADDIN CSL_CITATION {"citationItems":[{"id":"ITEM-1","itemData":{"DOI":"10.1089/ham.2013.1128","ISSN":"15578682","PMID":"25099674","abstract":"Early adaption in the Antarctic environment at Dome C: Consequences on stress-sensitive innate immune functions. High Alt Med Biol 15:341-348, 2014. - Purpose/Aims: Medical reports of Antarctic expeditions indicate that health is affected under these extreme conditions. The present study at CONCORDIA-Station (Dome C, 3233 m) seeks to investigate the early consequences of confinement and hypobaric hypoxia on the human organism. Methods: Nine healthy male participants were included in this study. Data collection occurred before traveling to Antarctica (baseline), and at 1 week and 1 month upon arrival. Investigated parameters included basic physiological variables, psychological stress tests, cell blood count, stress hormones, and markers of innate immune functions in resting and stimulated immune cells. By testing for the hydrogen peroxide (H2O2) production of stimulated polymorphonuclear leukocytes (PMNs), the effects of the hypoxia-adenosine-sensitive immune modulatory pathways were examined. Results: As compared to baseline data, reduced oxygen saturation, hemoconcentration, and an increase of secreted catecholamines was observed, whereas no psychological stress was seen. Upon stimulation, the activity of PMNs and L-selectin shedding was mitigated after 1 week. Endogenous adenosine concentration was elevated during the early phase. In summary, living conditions at high altitude influence the innate immune system's response. After 1 month, some of the early effects on the human organism were restored. Conclusion: As this early adaptation is not related to psychological stress, the changes observed are likely to be induced by environmental stressors, especially hypoxia. As hypoxia is triggering ATP-catabolism, leading to elevated endogenous adenosine concentrations, this and the increased catecholamine concentration might contribute to the early, but reversible downregulation of innate immune functions. This indicates the slope of innate immune adaptation to hypoxia.","author":[{"dropping-particle":"","family":"Feuerecker","given":"Matthias","non-dropping-particle":"","parse-names":false,"suffix":""},{"dropping-particle":"","family":"Crucian","given":"Brian","non-dropping-particle":"","parse-names":false,"suffix":""},{"dropping-particle":"","family":"Salam","given":"Alex P.","non-dropping-particle":"","parse-names":false,"suffix":""},{"dropping-particle":"","family":"Rybka","given":"Ales","non-dropping-particle":"","parse-names":false,"suffix":""},{"dropping-particle":"","family":"Kaufmann","given":"Ines","non-dropping-particle":"","parse-names":false,"suffix":""},{"dropping-particle":"","family":"Moreels","given":"Marjan","non-dropping-particle":"","parse-names":false,"suffix":""},{"dropping-particle":"","family":"Quintens","given":"Roel","non-dropping-particle":"","parse-names":false,"suffix":""},{"dropping-particle":"","family":"Schelling","given":"Gustav","non-dropping-particle":"","parse-names":false,"suffix":""},{"dropping-particle":"","family":"Thiel","given":"Manfred","non-dropping-particle":"","parse-names":false,"suffix":""},{"dropping-particle":"","family":"Baatout","given":"Sarah","non-dropping-particle":"","parse-names":false,"suffix":""},{"dropping-particle":"","family":"Sams","given":"Clarence","non-dropping-particle":"","parse-names":false,"suffix":""},{"dropping-particle":"","family":"Choukèr","given":"Alexander","non-dropping-particle":"","parse-names":false,"suffix":""}],"container-title":"High Altitude Medicine and Biology","id":"ITEM-1","issue":"3","issued":{"date-parts":[["2014","9","1"]]},"page":"341-348","publisher":"Mary Ann Liebert Inc.","title":"Early adaption to the antarctic environment at dome C: Consequences on stress-sensitive innate immune functions","type":"article-journal","volume":"15"},"uris":["http://www.mendeley.com/documents/?uuid=37160b64-65b1-385f-ab5a-7945221c3a0b"]},{"id":"ITEM-2","itemData":{"ISSN":"00956562","PMID":"12056680","abstract":"Background: During future long-duration space missions, counter-measures need to be developed to deal with psychosocial issues that might impact negatively on crewmember performance and well-being. Methods: In our recently completed NASA-funded study of 5 U.S. astronauts, 8 Russian cosmonauts, and 42 U.S. and 16 Russian mission control personnel who participated in the Shuttle/Mir program, we evaluated a number of important psychosocial issues such as group tension, cohesion, leadership role, and the displacement of negative emotions from crewmembers to people in mission control and from mission control personnel to management. Results: Based on our findings, which are reviewed, a number of psychosocial countermeasures are suggested to help ameliorate the negative impact of potential psychosocial problems during future manned space missions. Conclusions: Crewmembers should be selected not only to rule out psychopathology but also to select-in for group compatibility and facility in a common language. Training should include briefings and team building related to a number of psychosocial issues and should involve both crewmembers and mission control personnel. During the mission, both experts on the ground and the crewmembers themselves should be alert to potential interpersonal problems, including the displacement of negative emotions from the crew to the ground. Supportive activities should consist of both individual and interpersonal strategies, including an awareness of changing leisure time needs. Finally, attention should be given to post-mission readjustment and to supporting the families on Earth.","author":[{"dropping-particle":"","family":"Kanas","given":"Nick","non-dropping-particle":"","parse-names":false,"suffix":""},{"dropping-particle":"","family":"Salnitskiy","given":"Vyacheslav","non-dropping-particle":"","parse-names":false,"suffix":""},{"dropping-particle":"","family":"Grund","given":"Ellen M.","non-dropping-particle":"","parse-names":false,"suffix":""},{"dropping-particle":"","family":"Gushin","given":"Vadim","non-dropping-particle":"","parse-names":false,"suffix":""},{"dropping-particle":"","family":"Weiss","given":"Daniel S.","non-dropping-particle":"","parse-names":false,"suffix":""},{"dropping-particle":"","family":"Kozerenko","given":"Olga","non-dropping-particle":"","parse-names":false,"suffix":""},{"dropping-particle":"","family":"Sled","given":"Alexander","non-dropping-particle":"","parse-names":false,"suffix":""},{"dropping-particle":"","family":"Marmar","given":"Charles R.","non-dropping-particle":"","parse-names":false,"suffix":""}],"container-title":"Aviation Space and Environmental Medicine","id":"ITEM-2","issue":"6","issued":{"date-parts":[["2002","6","1"]]},"page":"607-611","title":"Lessons learned from shuttle/Mir: Psychosocial countermeasures","type":"article-journal","volume":"73"},"uris":["http://www.mendeley.com/documents/?uuid=1df13d4d-2dc9-37dc-8b09-7a8c84232a56"]}],"mendeley":{"formattedCitation":"[5], [6]","plainTextFormattedCitation":"[5], [6]","previouslyFormattedCitation":"[5], [6]"},"properties":{"noteIndex":0},"schema":"https://github.com/citation-style-language/schema/raw/master/csl-citation.json"}</w:instrText>
      </w:r>
      <w:r w:rsidR="005A42C9" w:rsidRPr="00322386">
        <w:rPr>
          <w:rFonts w:asciiTheme="majorBidi" w:hAnsiTheme="majorBidi" w:cstheme="majorBidi"/>
          <w:color w:val="000000" w:themeColor="text1"/>
        </w:rPr>
        <w:fldChar w:fldCharType="separate"/>
      </w:r>
      <w:r w:rsidR="005A42C9" w:rsidRPr="00322386">
        <w:rPr>
          <w:rFonts w:asciiTheme="majorBidi" w:hAnsiTheme="majorBidi" w:cstheme="majorBidi"/>
          <w:noProof/>
          <w:color w:val="000000" w:themeColor="text1"/>
        </w:rPr>
        <w:t>[5], [6]</w:t>
      </w:r>
      <w:r w:rsidR="005A42C9"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w:t>
      </w:r>
    </w:p>
    <w:p w14:paraId="74BF6451" w14:textId="77777777" w:rsidR="006D4E60" w:rsidRPr="00322386" w:rsidRDefault="006D4E60">
      <w:pPr>
        <w:jc w:val="both"/>
        <w:rPr>
          <w:rFonts w:asciiTheme="majorBidi" w:hAnsiTheme="majorBidi" w:cstheme="majorBidi"/>
          <w:color w:val="000000" w:themeColor="text1"/>
        </w:rPr>
      </w:pPr>
    </w:p>
    <w:p w14:paraId="6D7865F1" w14:textId="3FD8B331"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The known effects of ICE environments can be broadly described (for a more thorough investigation, see </w:t>
      </w:r>
      <w:proofErr w:type="spellStart"/>
      <w:r w:rsidRPr="00322386">
        <w:rPr>
          <w:rFonts w:asciiTheme="majorBidi" w:hAnsiTheme="majorBidi" w:cstheme="majorBidi"/>
          <w:color w:val="000000" w:themeColor="text1"/>
        </w:rPr>
        <w:t>Pagel</w:t>
      </w:r>
      <w:proofErr w:type="spellEnd"/>
      <w:r w:rsidRPr="00322386">
        <w:rPr>
          <w:rFonts w:asciiTheme="majorBidi" w:hAnsiTheme="majorBidi" w:cstheme="majorBidi"/>
          <w:color w:val="000000" w:themeColor="text1"/>
        </w:rPr>
        <w:t xml:space="preserve"> 2016</w:t>
      </w:r>
      <w:r w:rsidR="005A42C9" w:rsidRPr="00322386">
        <w:rPr>
          <w:rFonts w:asciiTheme="majorBidi" w:hAnsiTheme="majorBidi" w:cstheme="majorBidi"/>
          <w:color w:val="000000" w:themeColor="text1"/>
        </w:rPr>
        <w:t xml:space="preserve"> </w:t>
      </w:r>
      <w:r w:rsidR="005A42C9" w:rsidRPr="00322386">
        <w:rPr>
          <w:rFonts w:asciiTheme="majorBidi" w:hAnsiTheme="majorBidi" w:cstheme="majorBidi"/>
          <w:color w:val="000000" w:themeColor="text1"/>
        </w:rPr>
        <w:fldChar w:fldCharType="begin" w:fldLock="1"/>
      </w:r>
      <w:r w:rsidR="005A42C9" w:rsidRPr="00322386">
        <w:rPr>
          <w:rFonts w:asciiTheme="majorBidi" w:hAnsiTheme="majorBidi" w:cstheme="majorBidi"/>
          <w:color w:val="000000" w:themeColor="text1"/>
        </w:rPr>
        <w:instrText>ADDIN CSL_CITATION {"citationItems":[{"id":"ITEM-1","itemData":{"DOI":"10.1152/japplphysiol.00928.2015","ISSN":"15221601","PMID":"26846554","abstract":"Human psychology and physiology are significantly altered by isolation and confinement. In light of planned exploration class interplanetary missions, the related adverse effects on the human body need to be explored and defined as they have a large impact on a mission's success. Terrestrial space analogs offer an excellent controlled environment to study some of these stressors during a space mission in isolation without the complex environment of the International Space Station. Participants subjected to these space analog conditions can encounter typical symptoms ranging from neurocognitive changes, fatigue, misaligned circadian rhythm, sleep disorders, altered stress hormone levels, and immune modulatory changes. This review focuses on both the psychological and the physiological responses observed in participants of long-duration spaceflight analog studies, such as Mars500 or Antarctic winter-over. They provide important insight into similarities and differences encountered in each simulated setting. The identification of adverse effects from confinement allows not only the crew to better prepare for but also to design feasible countermeasures that will help support space travelers during exploration class missions in the future.","author":[{"dropping-particle":"","family":"Pagel","given":"J. I.","non-dropping-particle":"","parse-names":false,"suffix":""},{"dropping-particle":"","family":"Choukèr","given":"A.","non-dropping-particle":"","parse-names":false,"suffix":""}],"container-title":"Journal of Applied Physiology","id":"ITEM-1","issue":"12","issued":{"date-parts":[["2016","6","15"]]},"page":"1449-1457","publisher":"American Physiological Society Bethesda, MD","title":"Effects of isolation and confinement on humans-implications for manned space explorations","type":"article","volume":"120"},"uris":["http://www.mendeley.com/documents/?uuid=0339a6f0-c5dc-3c45-b5b9-32385bd218fd"]}],"mendeley":{"formattedCitation":"[1]","plainTextFormattedCitation":"[1]","previouslyFormattedCitation":"[1]"},"properties":{"noteIndex":0},"schema":"https://github.com/citation-style-language/schema/raw/master/csl-citation.json"}</w:instrText>
      </w:r>
      <w:r w:rsidR="005A42C9" w:rsidRPr="00322386">
        <w:rPr>
          <w:rFonts w:asciiTheme="majorBidi" w:hAnsiTheme="majorBidi" w:cstheme="majorBidi"/>
          <w:color w:val="000000" w:themeColor="text1"/>
        </w:rPr>
        <w:fldChar w:fldCharType="separate"/>
      </w:r>
      <w:r w:rsidR="005A42C9" w:rsidRPr="00322386">
        <w:rPr>
          <w:rFonts w:asciiTheme="majorBidi" w:hAnsiTheme="majorBidi" w:cstheme="majorBidi"/>
          <w:noProof/>
          <w:color w:val="000000" w:themeColor="text1"/>
        </w:rPr>
        <w:t>[1]</w:t>
      </w:r>
      <w:r w:rsidR="005A42C9"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Before beginning, it must be understood that even under highly controlled conditions, the capacity of humans to withstand ICE effects is profoundly variable. Trends have previously been detected for decreasing positive emotional states, increased depression symptoms, destabilized mood, increased interpersonal conflict, and impaired sleep. Sex differences in these measures, particularly through time, and the confounding effect of the presence of others whose personalities and interpersonal relations must themselves be accounted for, represent noteworth</w:t>
      </w:r>
      <w:r w:rsidR="00F462CD" w:rsidRPr="00322386">
        <w:rPr>
          <w:rFonts w:asciiTheme="majorBidi" w:hAnsiTheme="majorBidi" w:cstheme="majorBidi"/>
          <w:color w:val="000000" w:themeColor="text1"/>
        </w:rPr>
        <w:t>y</w:t>
      </w:r>
      <w:r w:rsidRPr="00322386">
        <w:rPr>
          <w:rFonts w:asciiTheme="majorBidi" w:hAnsiTheme="majorBidi" w:cstheme="majorBidi"/>
          <w:color w:val="000000" w:themeColor="text1"/>
        </w:rPr>
        <w:t xml:space="preserve"> gaps in our current understanding</w:t>
      </w:r>
      <w:r w:rsidR="001C1CE8" w:rsidRPr="00322386">
        <w:rPr>
          <w:rFonts w:asciiTheme="majorBidi" w:hAnsiTheme="majorBidi" w:cstheme="majorBidi"/>
          <w:color w:val="000000" w:themeColor="text1"/>
        </w:rPr>
        <w:t xml:space="preserve"> </w:t>
      </w:r>
      <w:r w:rsidR="001C1CE8" w:rsidRPr="00322386">
        <w:rPr>
          <w:rFonts w:asciiTheme="majorBidi" w:hAnsiTheme="majorBidi" w:cstheme="majorBidi"/>
          <w:color w:val="000000" w:themeColor="text1"/>
        </w:rPr>
        <w:fldChar w:fldCharType="begin" w:fldLock="1"/>
      </w:r>
      <w:r w:rsidR="007C2EFE" w:rsidRPr="00322386">
        <w:rPr>
          <w:rFonts w:asciiTheme="majorBidi" w:hAnsiTheme="majorBidi" w:cstheme="majorBidi"/>
          <w:color w:val="000000" w:themeColor="text1"/>
        </w:rPr>
        <w:instrText>ADDIN CSL_CITATION {"citationItems":[{"id":"ITEM-1","itemData":{"DOI":"10.1016/J.PSYNEUEN.2018.06.012","ISSN":"0306-4530","PMID":"29940425","abstract":"Acute stress affects human decision making. It has been argued that there are systematic sex differences in behavioral responses to acute stress, with males showing a ‘fight or flight’ and females showing a ‘tend and befriend’ response. A ‘tend and befriend’ response would suggest that women become more cooperative under acute stress, while men do not. We investigated the effects of acute stress on social behavior. We induced stress via the Trier Social Stress Test (TSST) and then immediately after measured how participants reacted to offers made in the ultimatum game by a male proposer. We found that female participants were less likely to reject offers under stress (n = 25) vs. no stress (n = 37), p = 0.009, independent of how fair these offers were, cooperative behavior consistent with the ‘tend and befriend’ hypothesis. Male participants when stressed (n = 30) did not show differences in rejections rates compared to the control condition (n = 26), p = 0.41. Our results provide support for a qualitatively different behavioral response to acute stress among men and women.","author":[{"dropping-particle":"","family":"Youssef","given":"Farid F.","non-dropping-particle":"","parse-names":false,"suffix":""},{"dropping-particle":"","family":"Bachew","given":"Raecho","non-dropping-particle":"","parse-names":false,"suffix":""},{"dropping-particle":"","family":"Bissessar","given":"Satyavi","non-dropping-particle":"","parse-names":false,"suffix":""},{"dropping-particle":"","family":"Crockett","given":"Molly J.","non-dropping-particle":"","parse-names":false,"suffix":""},{"dropping-particle":"","family":"Faber","given":"Nadira S.","non-dropping-particle":"","parse-names":false,"suffix":""}],"container-title":"Psychoneuroendocrinology","id":"ITEM-1","issued":{"date-parts":[["2018","10","1"]]},"page":"126-131","publisher":"Pergamon","title":"Sex differences in the effects of acute stress on behavior in the ultimatum game","type":"article-journal","volume":"96"},"uris":["http://www.mendeley.com/documents/?uuid=6db4d053-ae07-3b04-bc6e-884614b9db18"]},{"id":"ITEM-2","itemData":{"DOI":"10.1177/02654075211041539","ISSN":"14603608","abstract":"During times of stress, supportive communication can buffer individuals from experiencing negative outcomes. However, the COVID-19 pandemic has substantially altered the interactions people rely on...","author":[{"dropping-particle":"","family":"Holmstrom","given":"Amanda J.","non-dropping-particle":"","parse-names":false,"suffix":""},{"dropping-particle":"","family":"Shebib","given":"Samantha J.","non-dropping-particle":"","parse-names":false,"suffix":""},{"dropping-particle":"","family":"Boumis","given":"Josephine K.","non-dropping-particle":"","parse-names":false,"suffix":""},{"dropping-particle":"","family":"Allard","given":"Amanda","non-dropping-particle":"","parse-names":false,"suffix":""},{"dropping-particle":"","family":"Mason","given":"Adam J.","non-dropping-particle":"","parse-names":false,"suffix":""},{"dropping-particle":"","family":"Lim","given":"Jong In","non-dropping-particle":"","parse-names":false,"suffix":""}],"container-title":"https://doi.org/10.1177/02654075211041539","id":"ITEM-2","issue":"10","issued":{"date-parts":[["2021","10","5"]]},"page":"2985-3009","publisher":"SAGE PublicationsSage UK: London, England","title":"Support gaps during the COVID-19 pandemic: Sex differences and effects on well-being:","type":"article-journal","volume":"38"},"uris":["http://www.mendeley.com/documents/?uuid=89a71260-a7b6-3d33-bc0a-ec5f63a8a57d"]},{"id":"ITEM-3","itemData":{"DOI":"10.1007/S40750-017-0062-3","ISSN":"2198-7335","abstract":"This study tested the hypothesis that human behavioral responses to psychosocial stress are sexually dimorphic and conform to the ‘flight-or-fight’ response for males and ‘tend-and-befriend’ for females. One hundred and twenty young adults (60 male, 60 female), mostly college students, served as study participants. Participants were randomly assigned to either a stress condition (Trier Social Stress Test, a standardized laboratory procedure used to induce psychosocial stress) or a control condition. Stress induction was confirmed with self-report questionnaires about perceived stress and anxiety. Participants then underwent three social decision making tasks to assess their competitive and cooperative tendencies: an Ultimatum Game, a Prisoner’s Dilemma, and a Prosocial Risk Taking task. We found evidence for interactive effects of stress and sex in all three tests, and all interactions were in the same direction. Relative to controls, stressed males made lower monetary offers to their partners and tended to be less willing to behave prosocially in a hypothetical risky situation, whereas stressed females offered higher monetary amounts in the Ultimatum Game and behaved more cooperatively in the Prisoner’s Dilemma. These results suggest that stress renders males more selfish and competitive, while stressed females become more other-oriented, more generous, and more cooperative. These effects are consistent with the ‘flight or fight’ pattern for males and the ‘tend and befriend’ pattern for females, respectively. The role of risk taking and empathy as possible psychological mediators of the effects of acute psychosocial stress on social decision making in men and women needs to be further investigated, along with sex differences in physiological responsiveness to stress.","author":[{"dropping-particle":"","family":"Nickels","given":"Nora","non-dropping-particle":"","parse-names":false,"suffix":""},{"dropping-particle":"","family":"Kubicki","given":"Konrad","non-dropping-particle":"","parse-names":false,"suffix":""},{"dropping-particle":"","family":"Maestripieri","given":"Dario","non-dropping-particle":"","parse-names":false,"suffix":""}],"container-title":"Adaptive Human Behavior and Physiology 2017 3:2","id":"ITEM-3","issue":"2","issued":{"date-parts":[["2017","2","28"]]},"page":"171-183","publisher":"Springer","title":"Sex Differences in the Effects of Psychosocial Stress on Cooperative and Prosocial Behavior: Evidence for ‘Flight or Fight’ in Males and ‘Tend and Befriend’ in Females","type":"article-journal","volume":"3"},"uris":["http://www.mendeley.com/documents/?uuid=12c8113d-d9be-3c83-94c1-cbfc8a1684e8"]}],"mendeley":{"formattedCitation":"[7]–[9]","plainTextFormattedCitation":"[7]–[9]","previouslyFormattedCitation":"[7]–[9]"},"properties":{"noteIndex":0},"schema":"https://github.com/citation-style-language/schema/raw/master/csl-citation.json"}</w:instrText>
      </w:r>
      <w:r w:rsidR="001C1CE8" w:rsidRPr="00322386">
        <w:rPr>
          <w:rFonts w:asciiTheme="majorBidi" w:hAnsiTheme="majorBidi" w:cstheme="majorBidi"/>
          <w:color w:val="000000" w:themeColor="text1"/>
        </w:rPr>
        <w:fldChar w:fldCharType="separate"/>
      </w:r>
      <w:r w:rsidR="001C1CE8" w:rsidRPr="00322386">
        <w:rPr>
          <w:rFonts w:asciiTheme="majorBidi" w:hAnsiTheme="majorBidi" w:cstheme="majorBidi"/>
          <w:noProof/>
          <w:color w:val="000000" w:themeColor="text1"/>
        </w:rPr>
        <w:t>[7]–[9]</w:t>
      </w:r>
      <w:r w:rsidR="001C1CE8"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Measures of altered physiology also indicated effects, but these are beyond the scope of the current investigation. </w:t>
      </w:r>
    </w:p>
    <w:p w14:paraId="3EEBCBC2" w14:textId="77777777" w:rsidR="006D4E60" w:rsidRPr="00322386" w:rsidRDefault="006D4E60">
      <w:pPr>
        <w:jc w:val="both"/>
        <w:rPr>
          <w:rFonts w:asciiTheme="majorBidi" w:hAnsiTheme="majorBidi" w:cstheme="majorBidi"/>
          <w:color w:val="000000" w:themeColor="text1"/>
        </w:rPr>
      </w:pPr>
    </w:p>
    <w:p w14:paraId="76F49908" w14:textId="66FFA2C0"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Looking more closely at psychological effects, we can begin to understand their complex, temporal natures. Some of these effects have been shown to reach an asymptote as a function of time, but others (particularly depression symptoms </w:t>
      </w:r>
      <w:r w:rsidR="00570A14" w:rsidRPr="00322386">
        <w:rPr>
          <w:rFonts w:asciiTheme="majorBidi" w:hAnsiTheme="majorBidi" w:cstheme="majorBidi"/>
          <w:color w:val="000000" w:themeColor="text1"/>
        </w:rPr>
        <w:fldChar w:fldCharType="begin" w:fldLock="1"/>
      </w:r>
      <w:r w:rsidR="007C2EFE" w:rsidRPr="00322386">
        <w:rPr>
          <w:rFonts w:asciiTheme="majorBidi" w:hAnsiTheme="majorBidi" w:cstheme="majorBidi"/>
          <w:color w:val="000000" w:themeColor="text1"/>
        </w:rPr>
        <w:instrText>ADDIN CSL_CITATION {"citationItems":[{"id":"ITEM-1","itemData":{"DOI":"10.1111/j.1559-1816.1995.tb01599.x","ISSN":"15591816","abstract":"This influence of prolongea isolation in an extreme environment on depressive symptoms, personality, and coping resources was examined in 121 members of the United States Antarctic Program in 1988–1989. Subjects were followed for a 1‐year period in Antarctica. Winter‐over personnel experienced an increase in depressive symptoms, avoidance as a coping method, and emotional discharge as a coping resource from baseline (T0) to Year‐1 (T1). At T0, education, negative life events, job‐related stress, low self‐confidence, active cognitive and behavioral coping methods, and low satisfaction with social support were independent predictors of depressive symptoms. At T1, negative life events, low self‐confidence, active behavioral and avoidance coping methods, affective regulation as a coping resource, and low satisfaction with social support were independent predictors of depressive symptoms. However, with the exception of T0 depressive symptoms, none of the social and demographic characteristics and T0 psychosocial measures predicted T1 depressive symptoms. The results of this study support the hypothesis that coping may be more strongly associated with environmental conditions that influence severity of stressor and availability of coping resources than with more remote and stable background factors. Copyright © 1995, Wiley Blackwell. All rights reserved","author":[{"dropping-particle":"","family":"Palinkas","given":"Lawrence A.","non-dropping-particle":"","parse-names":false,"suffix":""},{"dropping-particle":"","family":"Browner","given":"Deirdre","non-dropping-particle":"","parse-names":false,"suffix":""}],"container-title":"Journal of Applied Social Psychology","id":"ITEM-1","issue":"7","issued":{"date-parts":[["1995","4","1"]]},"page":"557-576","publisher":"John Wiley &amp; Sons, Ltd","title":"Effects of Prolongea Isolation in Extreme Environments on Stress, Coping, and Depression","type":"article-journal","volume":"25"},"uris":["http://www.mendeley.com/documents/?uuid=b2e76e89-9b4c-3f03-bb9d-8bd70c88788b"]}],"mendeley":{"formattedCitation":"[10]","plainTextFormattedCitation":"[10]","previouslyFormattedCitation":"[10]"},"properties":{"noteIndex":0},"schema":"https://github.com/citation-style-language/schema/raw/master/csl-citation.json"}</w:instrText>
      </w:r>
      <w:r w:rsidR="00570A14" w:rsidRPr="00322386">
        <w:rPr>
          <w:rFonts w:asciiTheme="majorBidi" w:hAnsiTheme="majorBidi" w:cstheme="majorBidi"/>
          <w:color w:val="000000" w:themeColor="text1"/>
        </w:rPr>
        <w:fldChar w:fldCharType="separate"/>
      </w:r>
      <w:r w:rsidR="001C1CE8" w:rsidRPr="00322386">
        <w:rPr>
          <w:rFonts w:asciiTheme="majorBidi" w:hAnsiTheme="majorBidi" w:cstheme="majorBidi"/>
          <w:noProof/>
          <w:color w:val="000000" w:themeColor="text1"/>
        </w:rPr>
        <w:t>[10]</w:t>
      </w:r>
      <w:r w:rsidR="00570A14" w:rsidRPr="00322386">
        <w:rPr>
          <w:rFonts w:asciiTheme="majorBidi" w:hAnsiTheme="majorBidi" w:cstheme="majorBidi"/>
          <w:color w:val="000000" w:themeColor="text1"/>
        </w:rPr>
        <w:fldChar w:fldCharType="end"/>
      </w:r>
      <w:r w:rsidR="00570A14" w:rsidRPr="00322386">
        <w:rPr>
          <w:rFonts w:asciiTheme="majorBidi" w:hAnsiTheme="majorBidi" w:cstheme="majorBidi"/>
          <w:color w:val="000000" w:themeColor="text1"/>
        </w:rPr>
        <w:t>,</w:t>
      </w:r>
      <w:r w:rsidRPr="00322386">
        <w:rPr>
          <w:rFonts w:asciiTheme="majorBidi" w:hAnsiTheme="majorBidi" w:cstheme="majorBidi"/>
          <w:color w:val="000000" w:themeColor="text1"/>
        </w:rPr>
        <w:t xml:space="preserve"> and interpersonal conflicts </w:t>
      </w:r>
      <w:r w:rsidR="00570A14" w:rsidRPr="00322386">
        <w:rPr>
          <w:rFonts w:asciiTheme="majorBidi" w:hAnsiTheme="majorBidi" w:cstheme="majorBidi"/>
          <w:color w:val="000000" w:themeColor="text1"/>
        </w:rPr>
        <w:fldChar w:fldCharType="begin" w:fldLock="1"/>
      </w:r>
      <w:r w:rsidR="007C2EFE" w:rsidRPr="00322386">
        <w:rPr>
          <w:rFonts w:asciiTheme="majorBidi" w:hAnsiTheme="majorBidi" w:cstheme="majorBidi"/>
          <w:color w:val="000000" w:themeColor="text1"/>
        </w:rPr>
        <w:instrText>ADDIN CSL_CITATION {"citationItems":[{"id":"ITEM-1","itemData":{"DOI":"10.1016/j.actaastro.2021.01.004","ISSN":"00945765","abstract":"Future space exploration will require crews to live and work together for an extended period in an isolated, confined, and extreme (ICE) environment, with high levels of autonomy from Earth. Such circumstances increase the importance of interpersonal relationships and require team members to keep conflicts manageable and rely on one another for social support. Although there is a wide body of literature from traditional teams on team conflict, less is known about the nature and role of conflict for teams that operate in ICE environments. We collected and analyzed daily open-ended conflict reports from five 4-person crews living and working in an ICE environment. Concept mapping suggested four types of conflict: (1) noted discords, (2) work disagreements, (3) interpersonal tensions, and (4) interpersonal breakdowns. The patterns of conflict type and timing of conflicts varied by team. Results suggest a more nuanced conflict typology may be helpful in understanding the relationship between conflict and key outcomes such as team performance in ICE settings, as well as how conflict is best managed.","author":[{"dropping-particle":"","family":"Marcinkowski","given":"Mikayla A.","non-dropping-particle":"","parse-names":false,"suffix":""},{"dropping-particle":"","family":"Bell","given":"Suzanne T.","non-dropping-particle":"","parse-names":false,"suffix":""},{"dropping-particle":"","family":"Roma","given":"Peter G.","non-dropping-particle":"","parse-names":false,"suffix":""}],"container-title":"Acta Astronautica","id":"ITEM-1","issued":{"date-parts":[["2021","4","1"]]},"page":"81-91","publisher":"Pergamon","title":"The nature of conflict for teams in isolated, confined, and extreme environments","type":"article-journal","volume":"181"},"uris":["http://www.mendeley.com/documents/?uuid=aa668857-090d-3526-9c0c-9a1867815e80"]}],"mendeley":{"formattedCitation":"[11]","plainTextFormattedCitation":"[11]","previouslyFormattedCitation":"[11]"},"properties":{"noteIndex":0},"schema":"https://github.com/citation-style-language/schema/raw/master/csl-citation.json"}</w:instrText>
      </w:r>
      <w:r w:rsidR="00570A14" w:rsidRPr="00322386">
        <w:rPr>
          <w:rFonts w:asciiTheme="majorBidi" w:hAnsiTheme="majorBidi" w:cstheme="majorBidi"/>
          <w:color w:val="000000" w:themeColor="text1"/>
        </w:rPr>
        <w:fldChar w:fldCharType="separate"/>
      </w:r>
      <w:r w:rsidR="001C1CE8" w:rsidRPr="00322386">
        <w:rPr>
          <w:rFonts w:asciiTheme="majorBidi" w:hAnsiTheme="majorBidi" w:cstheme="majorBidi"/>
          <w:noProof/>
          <w:color w:val="000000" w:themeColor="text1"/>
        </w:rPr>
        <w:t>[11]</w:t>
      </w:r>
      <w:r w:rsidR="00570A14"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w:t>
      </w:r>
      <w:r w:rsidR="00A40184" w:rsidRPr="00322386">
        <w:rPr>
          <w:rFonts w:asciiTheme="majorBidi" w:hAnsiTheme="majorBidi" w:cstheme="majorBidi"/>
          <w:color w:val="000000" w:themeColor="text1"/>
        </w:rPr>
        <w:t xml:space="preserve">often </w:t>
      </w:r>
      <w:r w:rsidRPr="00322386">
        <w:rPr>
          <w:rFonts w:asciiTheme="majorBidi" w:hAnsiTheme="majorBidi" w:cstheme="majorBidi"/>
          <w:color w:val="000000" w:themeColor="text1"/>
        </w:rPr>
        <w:t>only worsened</w:t>
      </w:r>
      <w:r w:rsidR="00A40184" w:rsidRPr="00322386">
        <w:rPr>
          <w:rFonts w:asciiTheme="majorBidi" w:hAnsiTheme="majorBidi" w:cstheme="majorBidi"/>
          <w:color w:val="000000" w:themeColor="text1"/>
        </w:rPr>
        <w:t xml:space="preserve"> or manifested far into the experience</w:t>
      </w:r>
      <w:r w:rsidRPr="00322386">
        <w:rPr>
          <w:rFonts w:asciiTheme="majorBidi" w:hAnsiTheme="majorBidi" w:cstheme="majorBidi"/>
          <w:color w:val="000000" w:themeColor="text1"/>
        </w:rPr>
        <w:t>. New, stabilized, norms may represent a finished adaptation to the environment, or the maximal capacity of the individual to respond to it</w:t>
      </w:r>
      <w:r w:rsidR="00FA0994" w:rsidRPr="00322386">
        <w:rPr>
          <w:rFonts w:asciiTheme="majorBidi" w:hAnsiTheme="majorBidi" w:cstheme="majorBidi"/>
          <w:color w:val="000000" w:themeColor="text1"/>
        </w:rPr>
        <w:t xml:space="preserve"> </w:t>
      </w:r>
      <w:r w:rsidR="00FA0994" w:rsidRPr="00322386">
        <w:rPr>
          <w:rFonts w:asciiTheme="majorBidi" w:hAnsiTheme="majorBidi" w:cstheme="majorBidi"/>
          <w:color w:val="000000" w:themeColor="text1"/>
        </w:rPr>
        <w:fldChar w:fldCharType="begin" w:fldLock="1"/>
      </w:r>
      <w:r w:rsidR="007C2EFE" w:rsidRPr="00322386">
        <w:rPr>
          <w:rFonts w:asciiTheme="majorBidi" w:hAnsiTheme="majorBidi" w:cstheme="majorBidi"/>
          <w:color w:val="000000" w:themeColor="text1"/>
        </w:rPr>
        <w:instrText>ADDIN CSL_CITATION {"citationItems":[{"id":"ITEM-1","itemData":{"DOI":"10.1007/978-3-319-10152-1_34-3","author":[{"dropping-particle":"","family":"Stuster","given":"Jack W.","non-dropping-particle":"","parse-names":false,"suffix":""}],"container-title":"Handbook of Bioastronautics","id":"ITEM-1","issued":{"date-parts":[["2020"]]},"page":"1-10","publisher":"Springer, Cham","title":"Behavioral Challenges of Space Exploration","type":"chapter"},"uris":["http://www.mendeley.com/documents/?uuid=5b2dc881-8d7e-3f2e-b3a4-29b4239a1e8c"]}],"mendeley":{"formattedCitation":"[12]","plainTextFormattedCitation":"[12]","previouslyFormattedCitation":"[12]"},"properties":{"noteIndex":0},"schema":"https://github.com/citation-style-language/schema/raw/master/csl-citation.json"}</w:instrText>
      </w:r>
      <w:r w:rsidR="00FA0994" w:rsidRPr="00322386">
        <w:rPr>
          <w:rFonts w:asciiTheme="majorBidi" w:hAnsiTheme="majorBidi" w:cstheme="majorBidi"/>
          <w:color w:val="000000" w:themeColor="text1"/>
        </w:rPr>
        <w:fldChar w:fldCharType="separate"/>
      </w:r>
      <w:r w:rsidR="001C1CE8" w:rsidRPr="00322386">
        <w:rPr>
          <w:rFonts w:asciiTheme="majorBidi" w:hAnsiTheme="majorBidi" w:cstheme="majorBidi"/>
          <w:noProof/>
          <w:color w:val="000000" w:themeColor="text1"/>
        </w:rPr>
        <w:t>[12]</w:t>
      </w:r>
      <w:r w:rsidR="00FA0994" w:rsidRPr="00322386">
        <w:rPr>
          <w:rFonts w:asciiTheme="majorBidi" w:hAnsiTheme="majorBidi" w:cstheme="majorBidi"/>
          <w:color w:val="000000" w:themeColor="text1"/>
        </w:rPr>
        <w:fldChar w:fldCharType="end"/>
      </w:r>
      <w:r w:rsidR="0009673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In the case of the latter, adaptive strategies (countermeasures) may be employed to increase an individual’s capacity to resist decremental effects</w:t>
      </w:r>
      <w:r w:rsidR="00FA0994" w:rsidRPr="00322386">
        <w:rPr>
          <w:rFonts w:asciiTheme="majorBidi" w:hAnsiTheme="majorBidi" w:cstheme="majorBidi"/>
          <w:color w:val="000000" w:themeColor="text1"/>
        </w:rPr>
        <w:t xml:space="preserve"> </w:t>
      </w:r>
      <w:r w:rsidR="00FA0994" w:rsidRPr="00322386">
        <w:rPr>
          <w:rFonts w:asciiTheme="majorBidi" w:hAnsiTheme="majorBidi" w:cstheme="majorBidi"/>
          <w:color w:val="000000" w:themeColor="text1"/>
        </w:rPr>
        <w:fldChar w:fldCharType="begin" w:fldLock="1"/>
      </w:r>
      <w:r w:rsidR="007C2EFE" w:rsidRPr="00322386">
        <w:rPr>
          <w:rFonts w:asciiTheme="majorBidi" w:hAnsiTheme="majorBidi" w:cstheme="majorBidi"/>
          <w:color w:val="000000" w:themeColor="text1"/>
        </w:rPr>
        <w:instrText>ADDIN CSL_CITATION {"citationItems":[{"id":"ITEM-1","itemData":{"DOI":"10.3357/AMHP.4676.2016","ISSN":"23756322","PMID":"27779949","abstract":"INTRODUCTION: Living in an isolated, confined environment (ICE) can induce conflict, stress, and depression. Computer-based behavioral health countermeasures are appealing for training and treatment in ICEs because they provide confidentiality and do not require communication with the outside environment. We evaluated the Virtual Space Station (VSS), a suite of interactive computer-delivered psychological training and treatment programs, at the Hawaii Space Exploration Analog and Simulation (HI-SEAS) III expedition. METHODS: Six subjects (3 male, 3 female) spent 8 mo in group-isolation and used the Conflict, Stress, and Depression modules in the VSS. Survey evaluations, data collected within the program, and postdeployment interviews were collected. RESULTS: This crew dealt with behavioral health issues common to ICEs. The VSS proved to be a valuable resource and was used both as intended, and in unanticipated ways, to help maintain behavioral health. The Conflict and Stress Modules were rated as highly acceptable (1.8 on a 7-point Likert scale). The crew identified a total of 13 stressors and worked on 9 problems through the VSS. Opinions about the modules were highly individualized. Crewmembers identified exercises in the VSS that were applicable and not applicable to their needs. Additional content to improve the program was identified. DISCUSSION: Autonomous, confidential training and treatment for behavioral health issues will need to be a critical component of long duration spaceflight travel. This work provides an evaluation of such a tool in a relevant ICE.","author":[{"dropping-particle":"","family":"Anderson","given":"Allison P.","non-dropping-particle":"","parse-names":false,"suffix":""},{"dropping-particle":"","family":"Fellows","given":"Abigail M.","non-dropping-particle":"","parse-names":false,"suffix":""},{"dropping-particle":"","family":"Binsted","given":"Kim A.","non-dropping-particle":"","parse-names":false,"suffix":""},{"dropping-particle":"","family":"Hegel","given":"Mark T.","non-dropping-particle":"","parse-names":false,"suffix":""},{"dropping-particle":"","family":"Buckey","given":"Jay C.","non-dropping-particle":"","parse-names":false,"suffix":""}],"container-title":"Aerospace Medicine and Human Performance","id":"ITEM-1","issue":"11","issued":{"date-parts":[["2016","11","1"]]},"page":"912-920","publisher":"Aerosp Med Hum Perform","title":"Autonomous, computer-based behavioral health countermeasure evaluation at HI-SEAS mars analog","type":"article-journal","volume":"87"},"uris":["http://www.mendeley.com/documents/?uuid=905ee2f8-4d95-3b59-ae16-e678b51d7ada"]}],"mendeley":{"formattedCitation":"[13]","plainTextFormattedCitation":"[13]","previouslyFormattedCitation":"[13]"},"properties":{"noteIndex":0},"schema":"https://github.com/citation-style-language/schema/raw/master/csl-citation.json"}</w:instrText>
      </w:r>
      <w:r w:rsidR="00FA0994" w:rsidRPr="00322386">
        <w:rPr>
          <w:rFonts w:asciiTheme="majorBidi" w:hAnsiTheme="majorBidi" w:cstheme="majorBidi"/>
          <w:color w:val="000000" w:themeColor="text1"/>
        </w:rPr>
        <w:fldChar w:fldCharType="separate"/>
      </w:r>
      <w:r w:rsidR="001C1CE8" w:rsidRPr="00322386">
        <w:rPr>
          <w:rFonts w:asciiTheme="majorBidi" w:hAnsiTheme="majorBidi" w:cstheme="majorBidi"/>
          <w:noProof/>
          <w:color w:val="000000" w:themeColor="text1"/>
        </w:rPr>
        <w:t>[13]</w:t>
      </w:r>
      <w:r w:rsidR="00FA0994"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w:t>
      </w:r>
    </w:p>
    <w:p w14:paraId="209FB3A8" w14:textId="77777777" w:rsidR="006D4E60" w:rsidRPr="00322386" w:rsidRDefault="006D4E60">
      <w:pPr>
        <w:jc w:val="both"/>
        <w:rPr>
          <w:rFonts w:asciiTheme="majorBidi" w:hAnsiTheme="majorBidi" w:cstheme="majorBidi"/>
          <w:color w:val="000000" w:themeColor="text1"/>
        </w:rPr>
      </w:pPr>
    </w:p>
    <w:p w14:paraId="29BBEF4D" w14:textId="77777777" w:rsidR="006D4E60" w:rsidRPr="00322386" w:rsidRDefault="00063B85">
      <w:pPr>
        <w:ind w:firstLine="720"/>
        <w:jc w:val="both"/>
        <w:rPr>
          <w:rFonts w:asciiTheme="majorBidi" w:hAnsiTheme="majorBidi" w:cstheme="majorBidi"/>
          <w:i/>
          <w:color w:val="000000" w:themeColor="text1"/>
        </w:rPr>
      </w:pPr>
      <w:r w:rsidRPr="00322386">
        <w:rPr>
          <w:rFonts w:asciiTheme="majorBidi" w:hAnsiTheme="majorBidi" w:cstheme="majorBidi"/>
          <w:i/>
          <w:color w:val="000000" w:themeColor="text1"/>
        </w:rPr>
        <w:t>The lockdowns of COVID-19</w:t>
      </w:r>
    </w:p>
    <w:p w14:paraId="29D82A73" w14:textId="77777777" w:rsidR="006D4E60" w:rsidRPr="00322386" w:rsidRDefault="006D4E60">
      <w:pPr>
        <w:jc w:val="both"/>
        <w:rPr>
          <w:rFonts w:asciiTheme="majorBidi" w:hAnsiTheme="majorBidi" w:cstheme="majorBidi"/>
          <w:color w:val="000000" w:themeColor="text1"/>
        </w:rPr>
      </w:pPr>
    </w:p>
    <w:p w14:paraId="64E15092" w14:textId="69CD87F6"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Beginning in early 2020, the international effort to contain the spread of the COVID-19 virus began in earnest</w:t>
      </w:r>
      <w:r w:rsidR="00570A14" w:rsidRPr="00322386">
        <w:rPr>
          <w:rFonts w:asciiTheme="majorBidi" w:hAnsiTheme="majorBidi" w:cstheme="majorBidi"/>
          <w:color w:val="000000" w:themeColor="text1"/>
        </w:rPr>
        <w:t xml:space="preserve">. </w:t>
      </w:r>
      <w:r w:rsidR="000D3480" w:rsidRPr="00322386">
        <w:rPr>
          <w:rFonts w:asciiTheme="majorBidi" w:hAnsiTheme="majorBidi" w:cstheme="majorBidi"/>
          <w:color w:val="000000" w:themeColor="text1"/>
        </w:rPr>
        <w:t>The World Health Organization proclaimed COVID-19 a global pandemic on 11 March 2020</w:t>
      </w:r>
      <w:r w:rsidR="007C2EFE" w:rsidRPr="00322386">
        <w:rPr>
          <w:rFonts w:asciiTheme="majorBidi" w:hAnsiTheme="majorBidi" w:cstheme="majorBidi"/>
          <w:color w:val="000000" w:themeColor="text1"/>
        </w:rPr>
        <w:t xml:space="preserve"> </w:t>
      </w:r>
      <w:r w:rsidR="007C2EFE" w:rsidRPr="00322386">
        <w:rPr>
          <w:rFonts w:asciiTheme="majorBidi" w:hAnsiTheme="majorBidi" w:cstheme="majorBidi"/>
          <w:color w:val="000000" w:themeColor="text1"/>
        </w:rPr>
        <w:fldChar w:fldCharType="begin" w:fldLock="1"/>
      </w:r>
      <w:r w:rsidR="007C2EFE" w:rsidRPr="00322386">
        <w:rPr>
          <w:rFonts w:asciiTheme="majorBidi" w:hAnsiTheme="majorBidi" w:cstheme="majorBidi"/>
          <w:color w:val="000000" w:themeColor="text1"/>
        </w:rPr>
        <w:instrText>ADDIN CSL_CITATION {"citationItems":[{"id":"ITEM-1","itemData":{"URL":"https://www.who.int/news/item/29-06-2020-covidtimeline","accessed":{"date-parts":[["2021","12","7"]]},"id":"ITEM-1","issued":{"date-parts":[["0"]]},"title":"Listings of WHO's response to COVID-19","type":"webpage"},"uris":["http://www.mendeley.com/documents/?uuid=1e1efadf-8356-37cc-a3de-70b1fe5edf67"]}],"mendeley":{"formattedCitation":"[14]","plainTextFormattedCitation":"[14]","previouslyFormattedCitation":"[14]"},"properties":{"noteIndex":0},"schema":"https://github.com/citation-style-language/schema/raw/master/csl-citation.json"}</w:instrText>
      </w:r>
      <w:r w:rsidR="007C2EFE" w:rsidRPr="00322386">
        <w:rPr>
          <w:rFonts w:asciiTheme="majorBidi" w:hAnsiTheme="majorBidi" w:cstheme="majorBidi"/>
          <w:color w:val="000000" w:themeColor="text1"/>
        </w:rPr>
        <w:fldChar w:fldCharType="separate"/>
      </w:r>
      <w:r w:rsidR="007C2EFE" w:rsidRPr="00322386">
        <w:rPr>
          <w:rFonts w:asciiTheme="majorBidi" w:hAnsiTheme="majorBidi" w:cstheme="majorBidi"/>
          <w:noProof/>
          <w:color w:val="000000" w:themeColor="text1"/>
        </w:rPr>
        <w:t>[14]</w:t>
      </w:r>
      <w:r w:rsidR="007C2EFE" w:rsidRPr="00322386">
        <w:rPr>
          <w:rFonts w:asciiTheme="majorBidi" w:hAnsiTheme="majorBidi" w:cstheme="majorBidi"/>
          <w:color w:val="000000" w:themeColor="text1"/>
        </w:rPr>
        <w:fldChar w:fldCharType="end"/>
      </w:r>
      <w:r w:rsidR="000D3480" w:rsidRPr="00322386">
        <w:rPr>
          <w:rFonts w:asciiTheme="majorBidi" w:hAnsiTheme="majorBidi" w:cstheme="majorBidi"/>
          <w:color w:val="000000" w:themeColor="text1"/>
        </w:rPr>
        <w:t>, and most US restrictions began shortly thereafter</w:t>
      </w:r>
      <w:r w:rsidR="007C2EFE" w:rsidRPr="00322386">
        <w:rPr>
          <w:rFonts w:asciiTheme="majorBidi" w:hAnsiTheme="majorBidi" w:cstheme="majorBidi"/>
          <w:color w:val="000000" w:themeColor="text1"/>
        </w:rPr>
        <w:t xml:space="preserve"> </w:t>
      </w:r>
      <w:r w:rsidR="007C2EFE" w:rsidRPr="00322386">
        <w:rPr>
          <w:rFonts w:asciiTheme="majorBidi" w:hAnsiTheme="majorBidi" w:cstheme="majorBidi"/>
          <w:color w:val="000000" w:themeColor="text1"/>
        </w:rPr>
        <w:fldChar w:fldCharType="begin" w:fldLock="1"/>
      </w:r>
      <w:r w:rsidR="00D13DEE" w:rsidRPr="00322386">
        <w:rPr>
          <w:rFonts w:asciiTheme="majorBidi" w:hAnsiTheme="majorBidi" w:cstheme="majorBidi"/>
          <w:color w:val="000000" w:themeColor="text1"/>
        </w:rPr>
        <w:instrText>ADDIN CSL_CITATION {"citationItems":[{"id":"ITEM-1","itemData":{"DOI":"10.1016/S0140-6736(21)01897-3","ISSN":"0140-6736","PMID":"34762857","abstract":"Understanding the spread of SARS-CoV-2, how and when evidence emerged, and the timing of local, national, regional, and global responses is essential to establish how an outbreak became a pandemic and to prepare for future health threats. With that aim, the Independent Panel for Pandemic Preparedness and Response has developed a chronology of events, actions, and recommendations, from December, 2019, when the first cases of COVID-19 were identified in China, to the end of March, 2020, by which time the outbreak had spread extensively worldwide and had been characterised as a pandemic. Datapoints are based on two literature reviews, WHO documents and correspondence, submissions to the Panel, and an expert verification process. The retrospective analysis of the chronology shows a dedicated initial response by WHO and some national governments, but also aspects of the response that could have been quicker, including outbreak notifications under the International Health Regulations (IHR), presumption and confirmation of human-to-human transmission of SARS-CoV-2, declaration of a Public Health Emergency of International Concern, and, most importantly, the public health response of many national governments. The chronology also shows that some countries, largely those with previous experience with similar outbreaks, reacted quickly, even ahead of WHO alerts, and were more successful in initially containing the virus. Mapping actions against IHR obligations, the chronology shows where efficiency and accountability could be improved at local, national, and international levels to more quickly alert and contain health threats in the future. In particular, these improvements include necessary reforms to international law and governance for pandemic preparedness and response, including the IHR and a potential framework convention on pandemic preparedness and response.","author":[{"dropping-particle":"","family":"Singh","given":"Sudhvir","non-dropping-particle":"","parse-names":false,"suffix":""},{"dropping-particle":"","family":"McNab","given":"Christine","non-dropping-particle":"","parse-names":false,"suffix":""},{"dropping-particle":"","family":"Olson","given":"Rose McKeon","non-dropping-particle":"","parse-names":false,"suffix":""},{"dropping-particle":"","family":"Bristol","given":"Nellie","non-dropping-particle":"","parse-names":false,"suffix":""},{"dropping-particle":"","family":"Nolan","given":"Cody","non-dropping-particle":"","parse-names":false,"suffix":""},{"dropping-particle":"","family":"Bergstrøm","given":"Elin","non-dropping-particle":"","parse-names":false,"suffix":""},{"dropping-particle":"","family":"Bartos","given":"Michael","non-dropping-particle":"","parse-names":false,"suffix":""},{"dropping-particle":"","family":"Mabuchi","given":"Shunsuke","non-dropping-particle":"","parse-names":false,"suffix":""},{"dropping-particle":"","family":"Panjabi","given":"Raj","non-dropping-particle":"","parse-names":false,"suffix":""},{"dropping-particle":"","family":"Karan","given":"Abraar","non-dropping-particle":"","parse-names":false,"suffix":""},{"dropping-particle":"","family":"Abdalla","given":"Salma M","non-dropping-particle":"","parse-names":false,"suffix":""},{"dropping-particle":"","family":"Bonk","given":"Mathias","non-dropping-particle":"","parse-names":false,"suffix":""},{"dropping-particle":"","family":"Jamieson","given":"Margaret","non-dropping-particle":"","parse-names":false,"suffix":""},{"dropping-particle":"","family":"Werner","given":"George K","non-dropping-particle":"","parse-names":false,"suffix":""},{"dropping-particle":"","family":"Nordström","given":"Anders","non-dropping-particle":"","parse-names":false,"suffix":""},{"dropping-particle":"","family":"Legido-Quigley","given":"Helena","non-dropping-particle":"","parse-names":false,"suffix":""},{"dropping-particle":"","family":"Phelan","given":"Alexandra","non-dropping-particle":"","parse-names":false,"suffix":""}],"container-title":"The Lancet","id":"ITEM-1","issue":"10316","issued":{"date-parts":[["2021","12","4"]]},"page":"2109-2124","publisher":"Elsevier","title":"How an outbreak became a pandemic: a chronological analysis of crucial junctures and international obligations in the early months of the COVID-19 pandemic","type":"article-journal","volume":"398"},"uris":["http://www.mendeley.com/documents/?uuid=88fae182-880c-3824-9306-644bfd399015"]}],"mendeley":{"formattedCitation":"[15]","plainTextFormattedCitation":"[15]","previouslyFormattedCitation":"[15]"},"properties":{"noteIndex":0},"schema":"https://github.com/citation-style-language/schema/raw/master/csl-citation.json"}</w:instrText>
      </w:r>
      <w:r w:rsidR="007C2EFE" w:rsidRPr="00322386">
        <w:rPr>
          <w:rFonts w:asciiTheme="majorBidi" w:hAnsiTheme="majorBidi" w:cstheme="majorBidi"/>
          <w:color w:val="000000" w:themeColor="text1"/>
        </w:rPr>
        <w:fldChar w:fldCharType="separate"/>
      </w:r>
      <w:r w:rsidR="007C2EFE" w:rsidRPr="00322386">
        <w:rPr>
          <w:rFonts w:asciiTheme="majorBidi" w:hAnsiTheme="majorBidi" w:cstheme="majorBidi"/>
          <w:noProof/>
          <w:color w:val="000000" w:themeColor="text1"/>
        </w:rPr>
        <w:t>[15]</w:t>
      </w:r>
      <w:r w:rsidR="007C2EFE" w:rsidRPr="00322386">
        <w:rPr>
          <w:rFonts w:asciiTheme="majorBidi" w:hAnsiTheme="majorBidi" w:cstheme="majorBidi"/>
          <w:color w:val="000000" w:themeColor="text1"/>
        </w:rPr>
        <w:fldChar w:fldCharType="end"/>
      </w:r>
      <w:r w:rsidR="00570A14"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Richie et. al. published their Stringency Index in late 2020, which quantified the level of restrictions along dimensions of “school closures; workplace closures; cancellation of public events; restrictions on public gatherings; closures of public transport; stay-at-home requirements; public information campaigns; restrictions on internal movements; and international travel controls” </w:t>
      </w:r>
      <w:r w:rsidR="000D3480" w:rsidRPr="00322386">
        <w:rPr>
          <w:rFonts w:asciiTheme="majorBidi" w:hAnsiTheme="majorBidi" w:cstheme="majorBidi"/>
          <w:color w:val="000000" w:themeColor="text1"/>
        </w:rPr>
        <w:fldChar w:fldCharType="begin" w:fldLock="1"/>
      </w:r>
      <w:r w:rsidR="00D13DEE" w:rsidRPr="00322386">
        <w:rPr>
          <w:rFonts w:asciiTheme="majorBidi" w:hAnsiTheme="majorBidi" w:cstheme="majorBidi"/>
          <w:color w:val="000000" w:themeColor="text1"/>
        </w:rPr>
        <w:instrText>ADDIN CSL_CITATION {"citationItems":[{"id":"ITEM-1","itemData":{"URL":"https://ourworldindata.org/coronavirus","abstract":"El autor propone que, en las condiciones de la pandemia del COVID-19, es necesario replantear los supuestos de responsabilidad de los profesionales médicos debido a las circunstancias extraordinarias y los riesgos que asumen durante dicha pandemia. Esto implica limitar su responsabilidad en los casos de pacientes con esta enfermedad y permitirles realizar ciertas prácticas o tratamientos fuera de los protocolos convencionales. Además, propone que es necesario replantear el concepto de culpa para los profesionales médicos. Sin embargo, la propuesta no avala la eliminación de responsabilidad en todos los ámbitos (por ejemplo, en el caso de las prácticas discriminatorias o extremadamente negligentes).","accessed":{"date-parts":[["2021","12","7"]]},"author":[{"dropping-particle":"","family":"Worldometers","given":"","non-dropping-particle":"","parse-names":false,"suffix":""}],"container-title":"Our World in Data","id":"ITEM-1","issued":{"date-parts":[["2020","3","5"]]},"title":"COVID-19 CORONAVIRUS PANDEMIC","type":"webpage"},"uris":["http://www.mendeley.com/documents/?uuid=1008a513-0569-3223-8b71-d6ddbe3be992"]}],"mendeley":{"formattedCitation":"[16]","plainTextFormattedCitation":"[16]","previouslyFormattedCitation":"[16]"},"properties":{"noteIndex":0},"schema":"https://github.com/citation-style-language/schema/raw/master/csl-citation.json"}</w:instrText>
      </w:r>
      <w:r w:rsidR="000D3480" w:rsidRPr="00322386">
        <w:rPr>
          <w:rFonts w:asciiTheme="majorBidi" w:hAnsiTheme="majorBidi" w:cstheme="majorBidi"/>
          <w:color w:val="000000" w:themeColor="text1"/>
        </w:rPr>
        <w:fldChar w:fldCharType="separate"/>
      </w:r>
      <w:r w:rsidR="007C2EFE" w:rsidRPr="00322386">
        <w:rPr>
          <w:rFonts w:asciiTheme="majorBidi" w:hAnsiTheme="majorBidi" w:cstheme="majorBidi"/>
          <w:noProof/>
          <w:color w:val="000000" w:themeColor="text1"/>
        </w:rPr>
        <w:t>[16]</w:t>
      </w:r>
      <w:r w:rsidR="000D3480" w:rsidRPr="00322386">
        <w:rPr>
          <w:rFonts w:asciiTheme="majorBidi" w:hAnsiTheme="majorBidi" w:cstheme="majorBidi"/>
          <w:color w:val="000000" w:themeColor="text1"/>
        </w:rPr>
        <w:fldChar w:fldCharType="end"/>
      </w:r>
      <w:r w:rsidR="000D3480" w:rsidRPr="00322386">
        <w:rPr>
          <w:rFonts w:asciiTheme="majorBidi" w:hAnsiTheme="majorBidi" w:cstheme="majorBidi"/>
          <w:color w:val="000000" w:themeColor="text1"/>
        </w:rPr>
        <w:t>.</w:t>
      </w:r>
    </w:p>
    <w:p w14:paraId="32DCE63A" w14:textId="77777777" w:rsidR="006D4E60" w:rsidRPr="00322386" w:rsidRDefault="006D4E60">
      <w:pPr>
        <w:jc w:val="both"/>
        <w:rPr>
          <w:rFonts w:asciiTheme="majorBidi" w:hAnsiTheme="majorBidi" w:cstheme="majorBidi"/>
          <w:color w:val="000000" w:themeColor="text1"/>
        </w:rPr>
      </w:pPr>
    </w:p>
    <w:p w14:paraId="5F791C34" w14:textId="1A419BA2"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Various regional economic, political, and social pressures would change the specific restrictions and their enforcements</w:t>
      </w:r>
      <w:r w:rsidR="005A42C9"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These fluctuating environmental pressures require continual adaptation, suggesting yet another pressure in and of itself</w:t>
      </w:r>
      <w:r w:rsidR="00681DF8" w:rsidRPr="00322386">
        <w:rPr>
          <w:rFonts w:asciiTheme="majorBidi" w:hAnsiTheme="majorBidi" w:cstheme="majorBidi"/>
          <w:color w:val="000000" w:themeColor="text1"/>
        </w:rPr>
        <w:t xml:space="preserve"> </w:t>
      </w:r>
      <w:r w:rsidR="00681DF8"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{"citationItems":[{"id":"ITEM-1","itemData":{"DOI":"10.3389/FPSYG.2020.608986/BIBTEX","ISSN":"16641078","abstract":"Introduction: During the COVID-19 pandemic, healthcare workers in Italy have been exposed to an unprecedented pressure and traumatic events. However, no direct comparison with the general population is available so far. The aim of this study is to detail mental health outcomes in healthcare workers compared to the general population. Methods: 24050 respondents completed an on-line questionnaire during the contagion peak, 21342 general population, 1295 second-line healthcare workers, and 1411 front-line healthcare workers. Depressive, anxious, post-traumatic symptoms and insomnia were assessed. Specific COVID-19 related potential risk factors were also considered in healthcare workers. Results: Depressive symptoms were more frequent in the general population (28.12%) and front-line healthcare workers (28.35%) compared to the second-line healthcare workers (19.98%) groups. Anxiety symptoms showed a prevalence of 21.25% in the general population, 18.05% for second-line healthcare workers, and 20.55% for front-line healthcare workers. Insomnia showed a prevalence of 7.82, 6.58, and 9.92% for the general population, second-line healthcare workers, and front-line healthcare workers, respectively. Compared to the general population, front-line healthcare workers had higher odds of endorsing total trauma-related symptoms. Both second-line healthcare workers and front-line healthcare workers had higher odds of endorsing core post-traumatic symptoms compared to the general population, while second-line healthcare workers had lower odds of endorsing negative affect and dissociative symptoms. Higher total traumatic symptom score was associated with being a front-line healthcare worker, having a colleague infected, hospitalized, or deceased, being a nurse, female gender, and younger age. Conclusion: This study suggests a significant psychological impact of the COVID-19 pandemic on the Italian general population and healthcare workers. Front-line healthcare workers represent a specific at-risk population for post-traumatic symptoms. These findings underline the importance of monitoring and intervention strategies.","author":[{"dropping-particle":"","family":"Rossi","given":"Rodolfo","non-dropping-particle":"","parse-names":false,"suffix":""},{"dropping-particle":"","family":"Socci","given":"Valentina","non-dropping-particle":"","parse-names":false,"suffix":""},{"dropping-particle":"","family":"Pacitti","given":"Francesca","non-dropping-particle":"","parse-names":false,"suffix":""},{"dropping-particle":"","family":"Mensi","given":"Sonia","non-dropping-particle":"","parse-names":false,"suffix":""},{"dropping-particle":"","family":"Marco","given":"Antinisca","non-dropping-particle":"Di","parse-names":false,"suffix":""},{"dropping-particle":"","family":"Siracusano","given":"Alberto","non-dropping-particle":"","parse-names":false,"suffix":""},{"dropping-particle":"","family":"Lorenzo","given":"Giorgio","non-dropping-particle":"Di","parse-names":false,"suffix":""}],"container-title":"Frontiers in Psychology","id":"ITEM-1","issued":{"date-parts":[["2020","12","8"]]},"page":"3332","publisher":"Frontiers Media S.A.","title":"Mental Health Outcomes Among Healthcare Workers and the General Population During the COVID-19 in Italy","type":"article-journal","volume":"11"},"uris":["http://www.mendeley.com/documents/?uuid=9aebb2fb-7abf-3d5e-9c21-0f439146fd2c"]}],"mendeley":{"formattedCitation":"[17]","plainTextFormattedCitation":"[17]"},"properties":{"noteIndex":0},"schema":"https://github.com/citation-style-language/schema/raw/master/csl-citation.json"}</w:instrText>
      </w:r>
      <w:r w:rsidR="00681DF8"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[17]</w:t>
      </w:r>
      <w:r w:rsidR="00681DF8" w:rsidRPr="00322386">
        <w:rPr>
          <w:rFonts w:asciiTheme="majorBidi" w:hAnsiTheme="majorBidi" w:cstheme="majorBidi"/>
          <w:color w:val="000000" w:themeColor="text1"/>
        </w:rPr>
        <w:fldChar w:fldCharType="end"/>
      </w:r>
      <w:r w:rsidR="005A42C9"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The rise of Delta variant cases of the COVID-19 virus (</w:t>
      </w:r>
      <w:r w:rsidR="00096730" w:rsidRPr="00322386">
        <w:rPr>
          <w:rFonts w:asciiTheme="majorBidi" w:hAnsiTheme="majorBidi" w:cstheme="majorBidi"/>
          <w:color w:val="000000" w:themeColor="text1"/>
        </w:rPr>
        <w:t>that</w:t>
      </w:r>
      <w:r w:rsidRPr="00322386">
        <w:rPr>
          <w:rFonts w:asciiTheme="majorBidi" w:hAnsiTheme="majorBidi" w:cstheme="majorBidi"/>
          <w:color w:val="000000" w:themeColor="text1"/>
        </w:rPr>
        <w:t xml:space="preserve"> constituted another “wave” of the pandemic) was not captured in the present study, yet Figure </w:t>
      </w:r>
      <w:r w:rsidR="000D3480" w:rsidRPr="00322386">
        <w:rPr>
          <w:rFonts w:asciiTheme="majorBidi" w:hAnsiTheme="majorBidi" w:cstheme="majorBidi"/>
          <w:color w:val="000000" w:themeColor="text1"/>
        </w:rPr>
        <w:t>2</w:t>
      </w:r>
      <w:r w:rsidRPr="00322386">
        <w:rPr>
          <w:rFonts w:asciiTheme="majorBidi" w:hAnsiTheme="majorBidi" w:cstheme="majorBidi"/>
          <w:color w:val="000000" w:themeColor="text1"/>
        </w:rPr>
        <w:t xml:space="preserve"> indicates an oscillation in the severity of the restrictions that could confound time course effects by providing periods of reprieve</w:t>
      </w:r>
      <w:r w:rsidR="000D348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Additionally, given the unforeseen arrival of the pandemic, no baseline could be established in any potential subjects. We will attempt to address these concerns in our methodology. </w:t>
      </w:r>
    </w:p>
    <w:p w14:paraId="443BEEA0" w14:textId="1F659846" w:rsidR="006D4E60" w:rsidRPr="00322386" w:rsidRDefault="006D4E60">
      <w:pPr>
        <w:jc w:val="both"/>
        <w:rPr>
          <w:rFonts w:asciiTheme="majorBidi" w:hAnsiTheme="majorBidi" w:cstheme="majorBidi"/>
          <w:color w:val="000000" w:themeColor="text1"/>
        </w:rPr>
      </w:pPr>
    </w:p>
    <w:p w14:paraId="54298912" w14:textId="01D60A99" w:rsidR="006D4E60" w:rsidRPr="00322386" w:rsidRDefault="00063B85">
      <w:pPr>
        <w:jc w:val="both"/>
        <w:rPr>
          <w:rFonts w:asciiTheme="majorBidi" w:hAnsiTheme="majorBidi" w:cstheme="majorBidi"/>
          <w: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Effects in a Spaceflight Context</w:t>
      </w:r>
    </w:p>
    <w:p w14:paraId="0B6140AA" w14:textId="2BA0F477" w:rsidR="00096730" w:rsidRPr="00322386" w:rsidRDefault="00096730">
      <w:pPr>
        <w:jc w:val="both"/>
        <w:rPr>
          <w:rFonts w:asciiTheme="majorBidi" w:hAnsiTheme="majorBidi" w:cstheme="majorBidi"/>
          <w:i/>
          <w:color w:val="000000" w:themeColor="text1"/>
        </w:rPr>
      </w:pPr>
    </w:p>
    <w:p w14:paraId="587C6828" w14:textId="62743220" w:rsidR="006D4E60" w:rsidRPr="00322386" w:rsidRDefault="00917AC8">
      <w:pPr>
        <w:jc w:val="both"/>
        <w:rPr>
          <w:rFonts w:asciiTheme="majorBidi" w:hAnsiTheme="majorBidi" w:cstheme="majorBidi"/>
          <w:color w:val="000000" w:themeColor="text1"/>
        </w:rPr>
      </w:pPr>
      <w:r w:rsidRPr="00322386">
        <w:rPr>
          <w:rFonts w:asciiTheme="majorBidi" w:hAnsiTheme="majorBidi" w:cstheme="majorBidi"/>
          <w:noProof/>
          <w:color w:val="000000" w:themeColor="text1"/>
        </w:rPr>
        <mc:AlternateContent>
          <mc:Choice Requires="wps">
            <w:drawing>
              <wp:anchor distT="0" distB="0" distL="114300" distR="114300" simplePos="0" relativeHeight="251661312" behindDoc="1" locked="0" layoutInCell="1" allowOverlap="1" wp14:anchorId="2E101145" wp14:editId="413E7444">
                <wp:simplePos x="0" y="0"/>
                <wp:positionH relativeFrom="margin">
                  <wp:align>left</wp:align>
                </wp:positionH>
                <wp:positionV relativeFrom="paragraph">
                  <wp:posOffset>4255770</wp:posOffset>
                </wp:positionV>
                <wp:extent cx="6900545" cy="635"/>
                <wp:effectExtent l="0" t="0" r="0" b="8255"/>
                <wp:wrapTight wrapText="bothSides">
                  <wp:wrapPolygon edited="0">
                    <wp:start x="0" y="0"/>
                    <wp:lineTo x="0" y="20698"/>
                    <wp:lineTo x="21526" y="20698"/>
                    <wp:lineTo x="21526"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25BEB16E" w14:textId="7220BFCC" w:rsidR="000D3480" w:rsidRPr="00F71E8D" w:rsidRDefault="000D3480" w:rsidP="000D3480">
                            <w:pPr>
                              <w:pStyle w:val="Caption"/>
                            </w:pPr>
                            <w:r>
                              <w:t xml:space="preserve">Figure </w:t>
                            </w:r>
                            <w:r w:rsidR="00D35890">
                              <w:fldChar w:fldCharType="begin"/>
                            </w:r>
                            <w:r w:rsidR="00D35890">
                              <w:instrText xml:space="preserve"> SEQ Figure \* ARABIC </w:instrText>
                            </w:r>
                            <w:r w:rsidR="00D35890">
                              <w:fldChar w:fldCharType="separate"/>
                            </w:r>
                            <w:r w:rsidR="00C13A12">
                              <w:rPr>
                                <w:noProof/>
                              </w:rPr>
                              <w:t>1</w:t>
                            </w:r>
                            <w:r w:rsidR="00D35890">
                              <w:rPr>
                                <w:noProof/>
                              </w:rPr>
                              <w:fldChar w:fldCharType="end"/>
                            </w:r>
                            <w:r>
                              <w:t xml:space="preserve"> : Experimental timeline beginning in 2020 and continuing through 2021.  Red squares indicate survey time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101145" id="_x0000_t202" coordsize="21600,21600" o:spt="202" path="m,l,21600r21600,l21600,xe">
                <v:stroke joinstyle="miter"/>
                <v:path gradientshapeok="t" o:connecttype="rect"/>
              </v:shapetype>
              <v:shape id="Text Box 3" o:spid="_x0000_s1026" type="#_x0000_t202" style="position:absolute;left:0;text-align:left;margin-left:0;margin-top:335.1pt;width:543.35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" stroked="f">
                <v:textbox style="mso-fit-shape-to-text:t" inset="0,0,0,0">
                  <w:txbxContent>
                    <w:p w14:paraId="25BEB16E" w14:textId="7220BFCC" w:rsidR="000D3480" w:rsidRPr="00F71E8D" w:rsidRDefault="000D3480" w:rsidP="000D3480">
                      <w:pPr>
                        <w:pStyle w:val="Caption"/>
                      </w:pPr>
                      <w:r>
                        <w:t xml:space="preserve">Figure </w:t>
                      </w:r>
                      <w:fldSimple w:instr=" SEQ Figure \* ARABIC ">
                        <w:r w:rsidR="00C13A12">
                          <w:rPr>
                            <w:noProof/>
                          </w:rPr>
                          <w:t>1</w:t>
                        </w:r>
                      </w:fldSimple>
                      <w:r>
                        <w:t xml:space="preserve"> : Experimental timeline beginning in 2020 and continuing through 2021</w:t>
                      </w:r>
                      <w:proofErr w:type="gramStart"/>
                      <w:r>
                        <w:t xml:space="preserve">.  </w:t>
                      </w:r>
                      <w:proofErr w:type="gramEnd"/>
                      <w:r>
                        <w:t>Red squares indicate survey time points.</w:t>
                      </w:r>
                    </w:p>
                  </w:txbxContent>
                </v:textbox>
                <w10:wrap type="tight" anchorx="margin"/>
              </v:shape>
            </w:pict>
          </mc:Fallback>
        </mc:AlternateContent>
      </w:r>
      <w:r w:rsidR="00063B85" w:rsidRPr="00322386">
        <w:rPr>
          <w:rFonts w:asciiTheme="majorBidi" w:hAnsiTheme="majorBidi" w:cstheme="majorBidi"/>
          <w:color w:val="000000" w:themeColor="text1"/>
        </w:rPr>
        <w:t>Many of the conditions described above translate readily to the environment of human spaceflight</w:t>
      </w:r>
      <w:r w:rsidR="008457BD" w:rsidRPr="00322386">
        <w:rPr>
          <w:rFonts w:asciiTheme="majorBidi" w:hAnsiTheme="majorBidi" w:cstheme="majorBidi"/>
          <w:color w:val="000000" w:themeColor="text1"/>
        </w:rPr>
        <w:t xml:space="preserve">. </w:t>
      </w:r>
      <w:r w:rsidR="00063B85" w:rsidRPr="00322386">
        <w:rPr>
          <w:rFonts w:asciiTheme="majorBidi" w:hAnsiTheme="majorBidi" w:cstheme="majorBidi"/>
          <w:color w:val="000000" w:themeColor="text1"/>
        </w:rPr>
        <w:t>Astronauts presented with prolonged isolation and confinement will need the most effective countermeasures possible to ensure mission success</w:t>
      </w:r>
      <w:r w:rsidR="008457BD" w:rsidRPr="00322386">
        <w:rPr>
          <w:rFonts w:asciiTheme="majorBidi" w:hAnsiTheme="majorBidi" w:cstheme="majorBidi"/>
          <w:color w:val="000000" w:themeColor="text1"/>
        </w:rPr>
        <w:t xml:space="preserve"> </w:t>
      </w:r>
      <w:r w:rsidR="009928C6"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{"citationItems":[{"id":"ITEM-1","itemData":{"DOI":"10.1016/J.NEUBIOREV.2021.03.032","ISSN":"0149-7634","PMID":"33836214","abstract":"PALINKAS, L.A., and P. SUEDFELD. Psychosocial Issues in Isolated and Confined Extreme Environments. NEUROSCI BIOBEHAV REV (1) XXX-XXX, 2020. Psychosocial elements of behavior and performance will significantly impact the outcomes of long duration missions in space, ranging from individual and team decrements to positive benefits associated with successful adaptation. This paper reviews our current understanding of the individual, interpersonal and organizational issues related to living and working in isolated and confined extreme (ICE) environments. Individual issues include changes in emotions and cognitive performance; seasonal syndromes linked to changes in the physical environment; and positive effects of adapting to ICE environments. Interpersonal issues include processes of crew cohesion, tension and conflict; interpersonal relations and social support; the impact of group diversity and leadership styles on small group dynamics; and crew-mission control interactions. Organizational issues include the influence of organizational culture and mission duration on individual and group performance, crew autonomy, and managerial requirements for long duration missions. Improved screening and selection, leadership, coping and interpersonal skills training, and organizational change are key elements to optimizing adjustment to the environment and preventing decrements during and after long duration missions.","author":[{"dropping-particle":"","family":"Palinkas","given":"Lawrence A.","non-dropping-particle":"","parse-names":false,"suffix":""},{"dropping-particle":"","family":"Suedfeld","given":"Peter","non-dropping-particle":"","parse-names":false,"suffix":""}],"container-title":"Neuroscience &amp; Biobehavioral Reviews","id":"ITEM-1","issued":{"date-parts":[["2021","7","1"]]},"page":"413-429","publisher":"Pergamon","title":"Psychosocial issues in isolated and confined extreme environments","type":"article-journal","volume":"126"},"uris":["http://www.mendeley.com/documents/?uuid=6abd7da5-2d34-3759-b000-20a5aebcb31c"]}],"mendeley":{"formattedCitation":"[18]","plainTextFormattedCitation":"[18]","previouslyFormattedCitation":"[17]"},"properties":{"noteIndex":0},"schema":"https://github.com/citation-style-language/schema/raw/master/csl-citation.json"}</w:instrText>
      </w:r>
      <w:r w:rsidR="009928C6"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[18]</w:t>
      </w:r>
      <w:r w:rsidR="009928C6" w:rsidRPr="00322386">
        <w:rPr>
          <w:rFonts w:asciiTheme="majorBidi" w:hAnsiTheme="majorBidi" w:cstheme="majorBidi"/>
          <w:color w:val="000000" w:themeColor="text1"/>
        </w:rPr>
        <w:fldChar w:fldCharType="end"/>
      </w:r>
      <w:r w:rsidR="000D3480" w:rsidRPr="00322386">
        <w:rPr>
          <w:rFonts w:asciiTheme="majorBidi" w:hAnsiTheme="majorBidi" w:cstheme="majorBidi"/>
          <w:color w:val="000000" w:themeColor="text1"/>
        </w:rPr>
        <w:t xml:space="preserve">. </w:t>
      </w:r>
      <w:r w:rsidR="00063B85" w:rsidRPr="00322386">
        <w:rPr>
          <w:rFonts w:asciiTheme="majorBidi" w:hAnsiTheme="majorBidi" w:cstheme="majorBidi"/>
          <w:color w:val="000000" w:themeColor="text1"/>
        </w:rPr>
        <w:t>These countermeasures must be informed by the most analogous evidence in terms of subjects and environment</w:t>
      </w:r>
      <w:r w:rsidR="009928C6" w:rsidRPr="00322386">
        <w:rPr>
          <w:rFonts w:asciiTheme="majorBidi" w:hAnsiTheme="majorBidi" w:cstheme="majorBidi"/>
          <w:color w:val="000000" w:themeColor="text1"/>
        </w:rPr>
        <w:t xml:space="preserve"> </w:t>
      </w:r>
      <w:r w:rsidR="009928C6"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{"citationItems":[{"id":"ITEM-1","itemData":{"DOI":"10.1108/S1534-085620160000018007","ISSN":"15340856","abstract":"Purpose - To better understand contributing factors and mediating mechanisms related to team dynamics in isolated, confined, and extreme (ICE) environments. Methodology/approach - Literature review. Findings - Our primary focus is on cohesion and adaptation - two critical aspects of team performance in ICE environments that have received increased attention in both the literature and funding initiatives. We begin by describing the conditions that define ICE environments and review relevant individual biological, neuropsychiatric, and environmental factors that interact with team dynamics. We then outline a unifying team cohesion framework for long-duration missions and discuss several environmental, operational, organizational, and psychosocial factors that can impact team dynamics. Finally, we end with a discussion of directions for future research and countermeasure development, emphasizing the importance of temporal dynamics, multidisciplinary integration, and novel conceptual frameworks for the inherently mixed work and social setting of long-duration missions in ICE environments. Social implications - A better understanding of team dynamics over time can contribute to success in a variety of organizational settings, including space exploration, defense and security, business, education, athletics, and social relationships. Originality/value - We promote a multidisciplinary approach to team dynamics in ICE environments that incorporates dynamic biological, behavioral, psychological, and organizational factors over time.","author":[{"dropping-particle":"","family":"Roma","given":"Peter G.","non-dropping-particle":"","parse-names":false,"suffix":""},{"dropping-particle":"","family":"Bedwell","given":"Wendy L.","non-dropping-particle":"","parse-names":false,"suffix":""}],"container-title":"Research on Managing Groups and Teams","id":"ITEM-1","issued":{"date-parts":[["2017"]]},"page":"155-187","title":"Key factors and threats to team dynamics in long-duration extreme environments","type":"article-journal","volume":"18"},"uris":["http://www.mendeley.com/documents/?uuid=4312f9bf-ef31-4e48-9860-b4220100b1d2"]}],"mendeley":{"formattedCitation":"[19]","plainTextFormattedCitation":"[19]","previouslyFormattedCitation":"[18]"},"properties":{"noteIndex":0},"schema":"https://github.com/citation-style-language/schema/raw/master/csl-citation.json"}</w:instrText>
      </w:r>
      <w:r w:rsidR="009928C6"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[19]</w:t>
      </w:r>
      <w:r w:rsidR="009928C6" w:rsidRPr="00322386">
        <w:rPr>
          <w:rFonts w:asciiTheme="majorBidi" w:hAnsiTheme="majorBidi" w:cstheme="majorBidi"/>
          <w:color w:val="000000" w:themeColor="text1"/>
        </w:rPr>
        <w:fldChar w:fldCharType="end"/>
      </w:r>
      <w:r w:rsidR="00063B85" w:rsidRPr="00322386">
        <w:rPr>
          <w:rFonts w:asciiTheme="majorBidi" w:hAnsiTheme="majorBidi" w:cstheme="majorBidi"/>
          <w:color w:val="000000" w:themeColor="text1"/>
        </w:rPr>
        <w:t>. While the pandemic is far from a perfect analog, the opportunity to translate the effects of a full year of social lockdowns on the general population should not be overlooked.</w:t>
      </w:r>
    </w:p>
    <w:p w14:paraId="37B4A099" w14:textId="77777777" w:rsidR="006D4E60" w:rsidRPr="00322386" w:rsidRDefault="00063B85" w:rsidP="003A7987">
      <w:pPr>
        <w:pStyle w:val="Heading3"/>
        <w:rPr>
          <w:rFonts w:asciiTheme="majorBidi" w:hAnsiTheme="majorBidi" w:cstheme="majorBidi"/>
          <w:color w:val="000000" w:themeColor="text1"/>
        </w:rPr>
      </w:pPr>
      <w:bookmarkStart w:id="8" w:name="_v3aspds2eeof" w:colFirst="0" w:colLast="0"/>
      <w:bookmarkEnd w:id="8"/>
      <w:r w:rsidRPr="00322386">
        <w:rPr>
          <w:rFonts w:asciiTheme="majorBidi" w:hAnsiTheme="majorBidi" w:cstheme="majorBidi"/>
          <w:color w:val="000000" w:themeColor="text1"/>
        </w:rPr>
        <w:t xml:space="preserve">·         Purpose </w:t>
      </w:r>
    </w:p>
    <w:p w14:paraId="2781CDCC" w14:textId="725FC2D3"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The current experiment seeks to reveal the direct effects of prolonged isolation and confinement  on individuals during the COVID-19 pandemic as well as model the complex interrelationships of various predisposing factors and coping strategies on these effects.</w:t>
      </w:r>
    </w:p>
    <w:p w14:paraId="39C0D823" w14:textId="24CAE835" w:rsidR="006D4E60" w:rsidRPr="00322386" w:rsidRDefault="006D4E60">
      <w:pPr>
        <w:spacing w:line="240" w:lineRule="auto"/>
        <w:jc w:val="both"/>
        <w:rPr>
          <w:rFonts w:asciiTheme="majorBidi" w:hAnsiTheme="majorBidi" w:cstheme="majorBidi"/>
          <w:color w:val="000000" w:themeColor="text1"/>
        </w:rPr>
      </w:pPr>
    </w:p>
    <w:p w14:paraId="36308611" w14:textId="77777777" w:rsidR="006D4E60" w:rsidRPr="00322386" w:rsidRDefault="00063B85" w:rsidP="003A7987">
      <w:pPr>
        <w:pStyle w:val="Heading2"/>
        <w:rPr>
          <w:rFonts w:asciiTheme="majorBidi" w:hAnsiTheme="majorBidi" w:cstheme="majorBidi"/>
          <w:color w:val="000000" w:themeColor="text1"/>
        </w:rPr>
      </w:pPr>
      <w:bookmarkStart w:id="9" w:name="_ld88okt31yz6" w:colFirst="0" w:colLast="0"/>
      <w:bookmarkEnd w:id="9"/>
      <w:r w:rsidRPr="00322386">
        <w:rPr>
          <w:rFonts w:asciiTheme="majorBidi" w:hAnsiTheme="majorBidi" w:cstheme="majorBidi"/>
          <w:color w:val="000000" w:themeColor="text1"/>
        </w:rPr>
        <w:lastRenderedPageBreak/>
        <w:t>METHODS</w:t>
      </w:r>
    </w:p>
    <w:p w14:paraId="7E93FB5C" w14:textId="43EEB3E0" w:rsidR="006D4E60" w:rsidRPr="00322386" w:rsidRDefault="00096730">
      <w:pPr>
        <w:jc w:val="both"/>
        <w:rPr>
          <w:rFonts w:asciiTheme="majorBidi" w:hAnsiTheme="majorBidi" w:cstheme="majorBidi"/>
          <w:color w:val="000000" w:themeColor="text1"/>
        </w:rPr>
      </w:pPr>
      <w:r w:rsidRPr="00322386">
        <w:rPr>
          <w:rFonts w:asciiTheme="majorBidi" w:hAnsiTheme="majorBidi" w:cstheme="majorBidi"/>
          <w:noProof/>
          <w:color w:val="000000" w:themeColor="text1"/>
        </w:rPr>
        <w:drawing>
          <wp:anchor distT="19050" distB="19050" distL="19050" distR="19050" simplePos="0" relativeHeight="251658240" behindDoc="1" locked="0" layoutInCell="1" hidden="0" allowOverlap="1" wp14:anchorId="37DD3FA5" wp14:editId="3C136E76">
            <wp:simplePos x="0" y="0"/>
            <wp:positionH relativeFrom="margin">
              <wp:posOffset>-95250</wp:posOffset>
            </wp:positionH>
            <wp:positionV relativeFrom="page">
              <wp:posOffset>7848600</wp:posOffset>
            </wp:positionV>
            <wp:extent cx="6900545" cy="1293495"/>
            <wp:effectExtent l="0" t="0" r="0" b="1905"/>
            <wp:wrapTight wrapText="bothSides">
              <wp:wrapPolygon edited="0">
                <wp:start x="0" y="0"/>
                <wp:lineTo x="0" y="21314"/>
                <wp:lineTo x="21526" y="21314"/>
                <wp:lineTo x="21526" y="0"/>
                <wp:lineTo x="0" y="0"/>
              </wp:wrapPolygon>
            </wp:wrapTight>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900545" cy="1293495"/>
                    </a:xfrm>
                    <a:prstGeom prst="rect">
                      <a:avLst/>
                    </a:prstGeom>
                    <a:ln/>
                  </pic:spPr>
                </pic:pic>
              </a:graphicData>
            </a:graphic>
          </wp:anchor>
        </w:drawing>
      </w:r>
      <w:r w:rsidR="00063B85" w:rsidRPr="00322386">
        <w:rPr>
          <w:rFonts w:asciiTheme="majorBidi" w:hAnsiTheme="majorBidi" w:cstheme="majorBidi"/>
          <w:color w:val="000000" w:themeColor="text1"/>
        </w:rPr>
        <w:t xml:space="preserve">The online survey was developed in Google Forms. The study was carried out following </w:t>
      </w:r>
      <w:r w:rsidR="008A1534" w:rsidRPr="00322386">
        <w:rPr>
          <w:rFonts w:asciiTheme="majorBidi" w:hAnsiTheme="majorBidi" w:cstheme="majorBidi"/>
          <w:color w:val="000000" w:themeColor="text1"/>
        </w:rPr>
        <w:t xml:space="preserve">Texas A&amp;M University </w:t>
      </w:r>
      <w:r w:rsidR="00063B85" w:rsidRPr="00322386">
        <w:rPr>
          <w:rFonts w:asciiTheme="majorBidi" w:hAnsiTheme="majorBidi" w:cstheme="majorBidi"/>
          <w:color w:val="000000" w:themeColor="text1"/>
        </w:rPr>
        <w:t xml:space="preserve">IRB approval </w:t>
      </w:r>
      <w:r w:rsidR="008A1534" w:rsidRPr="00322386">
        <w:rPr>
          <w:rFonts w:asciiTheme="majorBidi" w:hAnsiTheme="majorBidi" w:cstheme="majorBidi"/>
          <w:color w:val="000000" w:themeColor="text1"/>
        </w:rPr>
        <w:t>(IRB2020-0506M).</w:t>
      </w:r>
      <w:r w:rsidR="00063B85" w:rsidRPr="00322386">
        <w:rPr>
          <w:rFonts w:asciiTheme="majorBidi" w:hAnsiTheme="majorBidi" w:cstheme="majorBidi"/>
          <w:color w:val="000000" w:themeColor="text1"/>
        </w:rPr>
        <w:t xml:space="preserve"> Respondents were gathered via university email </w:t>
      </w:r>
      <w:r w:rsidR="008A1534" w:rsidRPr="00322386">
        <w:rPr>
          <w:rFonts w:asciiTheme="majorBidi" w:hAnsiTheme="majorBidi" w:cstheme="majorBidi"/>
          <w:color w:val="000000" w:themeColor="text1"/>
        </w:rPr>
        <w:t xml:space="preserve">system </w:t>
      </w:r>
      <w:r w:rsidR="00063B85" w:rsidRPr="00322386">
        <w:rPr>
          <w:rFonts w:asciiTheme="majorBidi" w:hAnsiTheme="majorBidi" w:cstheme="majorBidi"/>
          <w:color w:val="000000" w:themeColor="text1"/>
        </w:rPr>
        <w:t>and social media resources. The first distribution to potential respondents went out on 6 May 2020</w:t>
      </w:r>
      <w:r w:rsidR="008A1534" w:rsidRPr="00322386">
        <w:rPr>
          <w:rFonts w:asciiTheme="majorBidi" w:hAnsiTheme="majorBidi" w:cstheme="majorBidi"/>
          <w:color w:val="000000" w:themeColor="text1"/>
        </w:rPr>
        <w:t xml:space="preserve">. </w:t>
      </w:r>
      <w:r w:rsidR="00063B85" w:rsidRPr="00322386">
        <w:rPr>
          <w:rFonts w:asciiTheme="majorBidi" w:hAnsiTheme="majorBidi" w:cstheme="majorBidi"/>
          <w:color w:val="000000" w:themeColor="text1"/>
        </w:rPr>
        <w:t>Subsequent surveys went out only to the pool of initial respondents, and to avoid redundancy, these did not include questions regarding demographics though participants were still asked about their country and/or state of residence</w:t>
      </w:r>
      <w:r w:rsidR="008A1534" w:rsidRPr="00322386">
        <w:rPr>
          <w:rFonts w:asciiTheme="majorBidi" w:hAnsiTheme="majorBidi" w:cstheme="majorBidi"/>
          <w:color w:val="000000" w:themeColor="text1"/>
        </w:rPr>
        <w:t xml:space="preserve">. </w:t>
      </w:r>
      <w:r w:rsidR="00063B85" w:rsidRPr="00322386">
        <w:rPr>
          <w:rFonts w:asciiTheme="majorBidi" w:hAnsiTheme="majorBidi" w:cstheme="majorBidi"/>
          <w:color w:val="000000" w:themeColor="text1"/>
        </w:rPr>
        <w:t>The second distribution occurred one week after the first, then again the following week</w:t>
      </w:r>
      <w:r w:rsidR="008A1534" w:rsidRPr="00322386">
        <w:rPr>
          <w:rFonts w:asciiTheme="majorBidi" w:hAnsiTheme="majorBidi" w:cstheme="majorBidi"/>
          <w:color w:val="000000" w:themeColor="text1"/>
        </w:rPr>
        <w:t xml:space="preserve">. </w:t>
      </w:r>
      <w:r w:rsidR="00063B85" w:rsidRPr="00322386">
        <w:rPr>
          <w:rFonts w:asciiTheme="majorBidi" w:hAnsiTheme="majorBidi" w:cstheme="majorBidi"/>
          <w:color w:val="000000" w:themeColor="text1"/>
        </w:rPr>
        <w:t xml:space="preserve">After this first batch of three time points, distributions were sent every six weeks subsequent for another year, ending therefore on 6 May 2021. By this final time point, COVID vaccinations in the US had surpassed 65% among adults, and most states had either reduced or remanded </w:t>
      </w:r>
      <w:proofErr w:type="gramStart"/>
      <w:r w:rsidR="008A1534" w:rsidRPr="00322386">
        <w:rPr>
          <w:rFonts w:asciiTheme="majorBidi" w:hAnsiTheme="majorBidi" w:cstheme="majorBidi"/>
          <w:color w:val="000000" w:themeColor="text1"/>
        </w:rPr>
        <w:t>all of</w:t>
      </w:r>
      <w:proofErr w:type="gramEnd"/>
      <w:r w:rsidR="00063B85" w:rsidRPr="00322386">
        <w:rPr>
          <w:rFonts w:asciiTheme="majorBidi" w:hAnsiTheme="majorBidi" w:cstheme="majorBidi"/>
          <w:color w:val="000000" w:themeColor="text1"/>
        </w:rPr>
        <w:t xml:space="preserve"> their lockdown measures, including mandatory mask-wearing requirements</w:t>
      </w:r>
      <w:r w:rsidR="008A1534" w:rsidRPr="00322386">
        <w:rPr>
          <w:rFonts w:asciiTheme="majorBidi" w:hAnsiTheme="majorBidi" w:cstheme="majorBidi"/>
          <w:color w:val="000000" w:themeColor="text1"/>
        </w:rPr>
        <w:t xml:space="preserve">. </w:t>
      </w:r>
      <w:r w:rsidR="00063B85" w:rsidRPr="00322386">
        <w:rPr>
          <w:rFonts w:asciiTheme="majorBidi" w:hAnsiTheme="majorBidi" w:cstheme="majorBidi"/>
          <w:color w:val="000000" w:themeColor="text1"/>
        </w:rPr>
        <w:t>Therefore, the first and final time points of data collection may be considered a “during” and “after” lockdown, respectively. A</w:t>
      </w:r>
      <w:r w:rsidR="008A1534" w:rsidRPr="00322386">
        <w:rPr>
          <w:rFonts w:asciiTheme="majorBidi" w:hAnsiTheme="majorBidi" w:cstheme="majorBidi"/>
          <w:color w:val="000000" w:themeColor="text1"/>
        </w:rPr>
        <w:t>n experimental</w:t>
      </w:r>
      <w:r w:rsidR="00063B85" w:rsidRPr="00322386">
        <w:rPr>
          <w:rFonts w:asciiTheme="majorBidi" w:hAnsiTheme="majorBidi" w:cstheme="majorBidi"/>
          <w:color w:val="000000" w:themeColor="text1"/>
        </w:rPr>
        <w:t xml:space="preserve"> timeline can be seen in Figure </w:t>
      </w:r>
      <w:r w:rsidR="008A1534" w:rsidRPr="00322386">
        <w:rPr>
          <w:rFonts w:asciiTheme="majorBidi" w:hAnsiTheme="majorBidi" w:cstheme="majorBidi"/>
          <w:color w:val="000000" w:themeColor="text1"/>
        </w:rPr>
        <w:t>1</w:t>
      </w:r>
      <w:r w:rsidR="00063B85" w:rsidRPr="00322386">
        <w:rPr>
          <w:rFonts w:asciiTheme="majorBidi" w:hAnsiTheme="majorBidi" w:cstheme="majorBidi"/>
          <w:color w:val="000000" w:themeColor="text1"/>
        </w:rPr>
        <w:t xml:space="preserve"> below. Following the release of any survey, subjects had one week in which to log their response before the survey closed.</w:t>
      </w:r>
    </w:p>
    <w:p w14:paraId="0E1EF9AD" w14:textId="77777777" w:rsidR="006D4E60" w:rsidRPr="00322386" w:rsidRDefault="00063B85" w:rsidP="003A7987">
      <w:pPr>
        <w:pStyle w:val="Heading3"/>
        <w:rPr>
          <w:rFonts w:asciiTheme="majorBidi" w:hAnsiTheme="majorBidi" w:cstheme="majorBidi"/>
          <w:color w:val="000000" w:themeColor="text1"/>
        </w:rPr>
      </w:pPr>
      <w:bookmarkStart w:id="10" w:name="_c5p26eh0v6cy" w:colFirst="0" w:colLast="0"/>
      <w:bookmarkEnd w:id="10"/>
      <w:r w:rsidRPr="00322386">
        <w:rPr>
          <w:rFonts w:asciiTheme="majorBidi" w:hAnsiTheme="majorBidi" w:cstheme="majorBidi"/>
          <w:color w:val="000000" w:themeColor="text1"/>
        </w:rPr>
        <w:t xml:space="preserve">·         Respondents </w:t>
      </w:r>
    </w:p>
    <w:p w14:paraId="23055ADE" w14:textId="0094742F" w:rsidR="006C4D06"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96 subjects responded to the initial call.</w:t>
      </w:r>
      <w:r w:rsidR="008A1534"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Of these 96, 84 responded to subsequent calls at least once, and six subjects responded to all eleven survey distributions</w:t>
      </w:r>
      <w:r w:rsidR="008A1534" w:rsidRPr="00322386">
        <w:rPr>
          <w:rFonts w:asciiTheme="majorBidi" w:hAnsiTheme="majorBidi" w:cstheme="majorBidi"/>
          <w:color w:val="000000" w:themeColor="text1"/>
        </w:rPr>
        <w:t xml:space="preserve">. </w:t>
      </w:r>
      <w:r w:rsidR="001063CF" w:rsidRPr="00322386">
        <w:rPr>
          <w:rFonts w:asciiTheme="majorBidi" w:hAnsiTheme="majorBidi" w:cstheme="majorBidi"/>
          <w:color w:val="000000" w:themeColor="text1"/>
        </w:rPr>
        <w:t>58.3% were female. The mean age was 41.66 y. (+/- 15.22)</w:t>
      </w:r>
      <w:r w:rsidR="006C4D06" w:rsidRPr="00322386">
        <w:rPr>
          <w:rFonts w:asciiTheme="majorBidi" w:hAnsiTheme="majorBidi" w:cstheme="majorBidi"/>
          <w:color w:val="000000" w:themeColor="text1"/>
        </w:rPr>
        <w:t xml:space="preserve">. </w:t>
      </w:r>
      <w:r w:rsidR="001063CF" w:rsidRPr="00322386">
        <w:rPr>
          <w:rFonts w:asciiTheme="majorBidi" w:hAnsiTheme="majorBidi" w:cstheme="majorBidi"/>
          <w:color w:val="000000" w:themeColor="text1"/>
        </w:rPr>
        <w:t xml:space="preserve">65 of the respondents lived in the United States, 21 in Spain, 3 in Canada, and no other country had more than 1 respondent. 57 subjects reported earning at least a </w:t>
      </w:r>
      <w:proofErr w:type="gramStart"/>
      <w:r w:rsidR="001063CF" w:rsidRPr="00322386">
        <w:rPr>
          <w:rFonts w:asciiTheme="majorBidi" w:hAnsiTheme="majorBidi" w:cstheme="majorBidi"/>
          <w:color w:val="000000" w:themeColor="text1"/>
        </w:rPr>
        <w:t>Master’s</w:t>
      </w:r>
      <w:proofErr w:type="gramEnd"/>
      <w:r w:rsidR="001063CF" w:rsidRPr="00322386">
        <w:rPr>
          <w:rFonts w:asciiTheme="majorBidi" w:hAnsiTheme="majorBidi" w:cstheme="majorBidi"/>
          <w:color w:val="000000" w:themeColor="text1"/>
        </w:rPr>
        <w:t xml:space="preserve"> degree, with 75 holding at least a Bachelor’s degree. 38 reported living with at least one child, though the ages of any children was not requested. </w:t>
      </w:r>
      <w:r w:rsidR="00903316" w:rsidRPr="00322386">
        <w:rPr>
          <w:rFonts w:asciiTheme="majorBidi" w:hAnsiTheme="majorBidi" w:cstheme="majorBidi"/>
          <w:color w:val="000000" w:themeColor="text1"/>
        </w:rPr>
        <w:t>16 respondents reported living with at least one person over the age of 65 (not including themselves).</w:t>
      </w:r>
      <w:r w:rsidR="008A1534" w:rsidRPr="00322386">
        <w:rPr>
          <w:rFonts w:asciiTheme="majorBidi" w:hAnsiTheme="majorBidi" w:cstheme="majorBidi"/>
          <w:color w:val="000000" w:themeColor="text1"/>
        </w:rPr>
        <w:t xml:space="preserve"> </w:t>
      </w:r>
    </w:p>
    <w:p w14:paraId="6B872241" w14:textId="77777777" w:rsidR="006C4D06" w:rsidRPr="00322386" w:rsidRDefault="006C4D06">
      <w:pPr>
        <w:jc w:val="both"/>
        <w:rPr>
          <w:rFonts w:asciiTheme="majorBidi" w:hAnsiTheme="majorBidi" w:cstheme="majorBidi"/>
          <w:color w:val="000000" w:themeColor="text1"/>
        </w:rPr>
      </w:pPr>
    </w:p>
    <w:p w14:paraId="555D220F" w14:textId="78797C26" w:rsidR="006D4E60" w:rsidRPr="00322386" w:rsidRDefault="006C4D06">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The first follow-up survey garnered 40 respondents. After this, surveys received an average of 25 +/- 4.5 respondents. </w:t>
      </w:r>
      <w:r w:rsidR="00063B85" w:rsidRPr="00322386">
        <w:rPr>
          <w:rFonts w:asciiTheme="majorBidi" w:hAnsiTheme="majorBidi" w:cstheme="majorBidi"/>
          <w:color w:val="000000" w:themeColor="text1"/>
        </w:rPr>
        <w:t>One will note that a full factorial analysis on these respondents is often belied by the diminishing number of responses such that even binary factors suffer from low statistical power and therefore any value in extrapolation. For this reason, as detailed below, only broad interpretations on the subject pool can be made.</w:t>
      </w:r>
    </w:p>
    <w:p w14:paraId="70F08CD6" w14:textId="77777777" w:rsidR="006D4E60" w:rsidRPr="00322386" w:rsidRDefault="00063B85" w:rsidP="003A7987">
      <w:pPr>
        <w:pStyle w:val="Heading3"/>
        <w:rPr>
          <w:rFonts w:asciiTheme="majorBidi" w:hAnsiTheme="majorBidi" w:cstheme="majorBidi"/>
          <w:color w:val="000000" w:themeColor="text1"/>
        </w:rPr>
      </w:pPr>
      <w:bookmarkStart w:id="11" w:name="_eqplibu8mswq" w:colFirst="0" w:colLast="0"/>
      <w:bookmarkEnd w:id="11"/>
      <w:r w:rsidRPr="00322386">
        <w:rPr>
          <w:rFonts w:asciiTheme="majorBidi" w:hAnsiTheme="majorBidi" w:cstheme="majorBidi"/>
          <w:color w:val="000000" w:themeColor="text1"/>
        </w:rPr>
        <w:t>·         Survey Sub-sections</w:t>
      </w:r>
    </w:p>
    <w:p w14:paraId="5757E374" w14:textId="77068A0A"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The survey was divided into sections related to individual lifestyle, social, and professional parameters as well as personality and mood. These tools were chosen as they are often used in space analog</w:t>
      </w:r>
      <w:r w:rsidR="00AF05A5" w:rsidRPr="00322386">
        <w:rPr>
          <w:rFonts w:asciiTheme="majorBidi" w:hAnsiTheme="majorBidi" w:cstheme="majorBidi"/>
          <w:color w:val="000000" w:themeColor="text1"/>
        </w:rPr>
        <w:t xml:space="preserve"> </w:t>
      </w:r>
      <w:r w:rsidR="00AF05A5"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{"citationItems":[{"id":"ITEM-1","itemData":{"DOI":"10.1371/journal.pone.0060090","ISSN":"19326203","PMID":"23555896","abstract":"To understand whether prolonged confinement results in reductions in physical activity and adaptation in the musculoskeletal system, six subjects were measured during 520 d isolation in the Mars500 study. We tested the hypothesis that physical activity reduces in prolonged confinement and that this would be associated with decrements of neuromuscular performance. Physical activity, as measured by average acceleration of the body's center of mass (\"activity temperature\") using the actibelt® device, decreased progressively over the course of isolation (p&lt;0.00001). Concurrently, countermovement jump power and single-leg hop force decreased during isolation (p&lt;0.001) whilst grip force did not change (p≥0.14). Similar to other models of inactivity, greater decrements of neuromuscular performance occurred in the lower-limb than in the upper-limb. Subject motivational state increased non-significantly (p = 0.20) during isolation, suggesting reductions in lower-limb neuromuscular performance were unrelated to motivation. Overall, we conclude that prolonged confinement is a form of physical inactivity and is associated with adaptation in the neuromuscular system. © 2013 Belavý et al.","author":[{"dropping-particle":"","family":"Belavý","given":"Daniel L.","non-dropping-particle":"","parse-names":false,"suffix":""},{"dropping-particle":"","family":"Gast","given":"Ulf","non-dropping-particle":"","parse-names":false,"suffix":""},{"dropping-particle":"","family":"Daumer","given":"Martin","non-dropping-particle":"","parse-names":false,"suffix":""},{"dropping-particle":"","family":"Fomina","given":"Elena","non-dropping-particle":"","parse-names":false,"suffix":""},{"dropping-particle":"","family":"Rawer","given":"Rainer","non-dropping-particle":"","parse-names":false,"suffix":""},{"dropping-particle":"","family":"Schießl","given":"Hans","non-dropping-particle":"","parse-names":false,"suffix":""},{"dropping-particle":"","family":"Schneider","given":"Stefan","non-dropping-particle":"","parse-names":false,"suffix":""},{"dropping-particle":"","family":"Schubert","given":"Harald","non-dropping-particle":"","parse-names":false,"suffix":""},{"dropping-particle":"","family":"Soaz","given":"Cristina","non-dropping-particle":"","parse-names":false,"suffix":""},{"dropping-particle":"","family":"Felsenberg","given":"Dieter","non-dropping-particle":"","parse-names":false,"suffix":""}],"container-title":"PLoS ONE","id":"ITEM-1","issue":"3","issued":{"date-parts":[["2013","3","28"]]},"page":"e60090","publisher":"Public Library of Science","title":"Progressive Adaptation in Physical Activity and Neuromuscular Performance during 520d Confinement","type":"article-journal","volume":"8"},"uris":["http://www.mendeley.com/documents/?uuid=450aa89f-c64a-3ef4-9c0a-3330aaceb2b9"]},{"id":"ITEM-2","itemData":{"DOI":"10.1093/sleep/zsy206","ISSN":"15509109","PMID":"30403819","abstract":"Study Objectives Manned spaceflights from Earth to Mars will likely become reality within the next decades. Humans will be exposed to prolonged isolation, confinement, and altered photoperiods under artificial atmospheric conditions, with potential adverse effects on sleep and performance. On Earth, polar environments serve as space analogs to study human adaptation; yet, few studies include polysomnography due to operational constraints. Methods Polysomnography, self-reported sleepiness and fatigue, and psychomotor performance were measured every 6 weeks in 13 males (\"Hivernauts\") during a 13 month winter-over campaign at Concordia (Antarctica). Stability and robustness of interindividual differences were examined by means of intraclass correlations. Results Hivernauts present with high-altitude periodic breathing, increased sleep onset latencies, and reduced psychomotor speed. Except for obstructive apneas, all sleep, sleepiness, and psychomotor performance variables remain stable over time. Individual differences in respiratory variables show the highest degree of stability and robustness, followed by fatigue and situational sleepiness, sleep fragmentation, and psychomotor speed, suggesting moderate to substantial trait-like characteristics for these variables. Phase delays are suspected in Hivernauts, both in individuals with imposed and self-selected bedtimes. A significant decline in psychomotor speed over time is observed in the latter group. Conclusions Space analog conditions such as isolated confinement, extreme photoperiods, and altered atmospheric conditions affect human sleep and performance. However, individual responses to these extreme environmental challenges show large differences and remain relatively stable under prolonged exposure. Ad hoc polysomnographic, including respiratory function monitoring is therefore recommended for selecting eligible candidates for extraterrestrial sojourns.","author":[{"dropping-particle":"","family":"Mairesse","given":"Olivier","non-dropping-particle":"","parse-names":false,"suffix":""},{"dropping-particle":"","family":"MacDonald-Nethercott","given":"Eoin","non-dropping-particle":"","parse-names":false,"suffix":""},{"dropping-particle":"","family":"Neu","given":"Daniel","non-dropping-particle":"","parse-names":false,"suffix":""},{"dropping-particle":"","family":"Tellez","given":"Helio Fernandez","non-dropping-particle":"","parse-names":false,"suffix":""},{"dropping-particle":"","family":"Dessy","given":"Emilie","non-dropping-particle":"","parse-names":false,"suffix":""},{"dropping-particle":"","family":"Neyt","given":"Xavier","non-dropping-particle":"","parse-names":false,"suffix":""},{"dropping-particle":"","family":"Meeusen","given":"Romain","non-dropping-particle":"","parse-names":false,"suffix":""},{"dropping-particle":"","family":"Pattyn","given":"Nathalie","non-dropping-particle":"","parse-names":false,"suffix":""}],"container-title":"Sleep","id":"ITEM-2","issue":"1","issued":{"date-parts":[["2019","1","1"]]},"publisher":"Oxford Academic","title":"Preparing for Mars: Human sleep and performance during a 13 month stay in Antarctica","type":"article-journal","volume":"42"},"uris":["http://www.mendeley.com/documents/?uuid=60f17ccc-0b8f-32ef-9d6b-20a5f7926107"]}],"mendeley":{"formattedCitation":"[4], [20]","plainTextFormattedCitation":"[4], [20]","previouslyFormattedCitation":"[4], [19]"},"properties":{"noteIndex":0},"schema":"https://github.com/citation-style-language/schema/raw/master/csl-citation.json"}</w:instrText>
      </w:r>
      <w:r w:rsidR="00AF05A5"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[4], [20]</w:t>
      </w:r>
      <w:r w:rsidR="00AF05A5"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Sub-sections were as follows:</w:t>
      </w:r>
    </w:p>
    <w:p w14:paraId="61BDC0C4" w14:textId="77777777" w:rsidR="006D4E60" w:rsidRPr="00322386" w:rsidRDefault="006D4E60">
      <w:pPr>
        <w:jc w:val="both"/>
        <w:rPr>
          <w:rFonts w:asciiTheme="majorBidi" w:hAnsiTheme="majorBidi" w:cstheme="majorBidi"/>
          <w:color w:val="000000" w:themeColor="text1"/>
        </w:rPr>
      </w:pPr>
    </w:p>
    <w:p w14:paraId="4799010F" w14:textId="77777777" w:rsidR="006D4E60" w:rsidRPr="00322386" w:rsidRDefault="00063B85">
      <w:pPr>
        <w:numPr>
          <w:ilvl w:val="0"/>
          <w:numId w:val="1"/>
        </w:numPr>
        <w:jc w:val="both"/>
        <w:rPr>
          <w:rFonts w:asciiTheme="majorBidi" w:hAnsiTheme="majorBidi" w:cstheme="majorBidi"/>
          <w:color w:val="000000" w:themeColor="text1"/>
        </w:rPr>
      </w:pPr>
      <w:r w:rsidRPr="00322386">
        <w:rPr>
          <w:rFonts w:asciiTheme="majorBidi" w:hAnsiTheme="majorBidi" w:cstheme="majorBidi"/>
          <w:color w:val="000000" w:themeColor="text1"/>
        </w:rPr>
        <w:t>Demographics from the initial survey included age, biological sex, country of living (and state, if applicable), educational level, living situation, household, and employment status.</w:t>
      </w:r>
    </w:p>
    <w:p w14:paraId="53CA7ED4" w14:textId="19C09806" w:rsidR="006D4E60" w:rsidRPr="00322386" w:rsidRDefault="00063B85">
      <w:pPr>
        <w:numPr>
          <w:ilvl w:val="0"/>
          <w:numId w:val="1"/>
        </w:numPr>
        <w:jc w:val="both"/>
        <w:rPr>
          <w:rFonts w:asciiTheme="majorBidi" w:hAnsiTheme="majorBidi" w:cstheme="majorBidi"/>
          <w:color w:val="000000" w:themeColor="text1"/>
        </w:rPr>
      </w:pPr>
      <w:r w:rsidRPr="00322386">
        <w:rPr>
          <w:rFonts w:asciiTheme="majorBidi" w:hAnsiTheme="majorBidi" w:cstheme="majorBidi"/>
          <w:color w:val="000000" w:themeColor="text1"/>
        </w:rPr>
        <w:t>UCLA Loneliness Scale, a 20-item tool for measuring subjective feelings of social isolation on a scale from 20-80, though our version of the survey mistakenly included 19 items. Individual questions use a 4-point Likert scale with higher numbers indicating greater agreement with preceding statements</w:t>
      </w:r>
      <w:r w:rsidR="00AF05A5"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These scores are summed for a final metric of loneliness</w:t>
      </w:r>
      <w:r w:rsidR="006C4D06" w:rsidRPr="00322386">
        <w:rPr>
          <w:rFonts w:asciiTheme="majorBidi" w:hAnsiTheme="majorBidi" w:cstheme="majorBidi"/>
          <w:color w:val="000000" w:themeColor="text1"/>
        </w:rPr>
        <w:t xml:space="preserve"> </w:t>
      </w:r>
      <w:r w:rsidR="00AF05A5"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{"citationItems":[{"id":"ITEM-1","itemData":{"DOI":"10.1207/s15327752jpa4203_11","ISSN":"15327752","PMID":"660402","abstract":"Research on loneliness has been hindered by the lack of a simple and reliable assessment technique. The development of the UCLA Loneliness Scale, a short, 20-item general measure of loneliness is reported. The measure has highinternalconsistency(coefficient alpha =. 96) and atest-retest correlation over a two-month period of. 73. Concurrent and preliminary construct validity are indicated by correlations with self-reports of current loneliness and related emotional states, and by volunteering for a “loneliness clinic.”. © 1978, Taylor &amp; Francis Group, LLC. All rights reserved.","author":[{"dropping-particle":"","family":"Russell","given":"Dan","non-dropping-particle":"","parse-names":false,"suffix":""},{"dropping-particle":"","family":"Peplau","given":"Letitia Anne","non-dropping-particle":"","parse-names":false,"suffix":""},{"dropping-particle":"","family":"Ferguson","given":"Mary Lund","non-dropping-particle":"","parse-names":false,"suffix":""}],"container-title":"Journal of Personality Assessment","id":"ITEM-1","issue":"3","issued":{"date-parts":[["1978","6","1"]]},"page":"290-294","publisher":"J Pers Assess","title":"Developing a Measure of Loneliness","type":"article-journal","volume":"42"},"uris":["http://www.mendeley.com/documents/?uuid=b34d5398-dd10-364e-bceb-ea33e20fbaba"]}],"mendeley":{"formattedCitation":"[21]","plainTextFormattedCitation":"[21]","previouslyFormattedCitation":"[20]"},"properties":{"noteIndex":0},"schema":"https://github.com/citation-style-language/schema/raw/master/csl-citation.json"}</w:instrText>
      </w:r>
      <w:r w:rsidR="00AF05A5"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[21]</w:t>
      </w:r>
      <w:r w:rsidR="00AF05A5" w:rsidRPr="00322386">
        <w:rPr>
          <w:rFonts w:asciiTheme="majorBidi" w:hAnsiTheme="majorBidi" w:cstheme="majorBidi"/>
          <w:color w:val="000000" w:themeColor="text1"/>
        </w:rPr>
        <w:fldChar w:fldCharType="end"/>
      </w:r>
      <w:r w:rsidR="006C4D06" w:rsidRPr="00322386">
        <w:rPr>
          <w:rFonts w:asciiTheme="majorBidi" w:hAnsiTheme="majorBidi" w:cstheme="majorBidi"/>
          <w:color w:val="000000" w:themeColor="text1"/>
        </w:rPr>
        <w:t xml:space="preserve">. </w:t>
      </w:r>
    </w:p>
    <w:p w14:paraId="1A7077D0" w14:textId="523C8349" w:rsidR="006D4E60" w:rsidRPr="00322386" w:rsidRDefault="00063B85">
      <w:pPr>
        <w:numPr>
          <w:ilvl w:val="0"/>
          <w:numId w:val="1"/>
        </w:num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The Profile of Mood States, a </w:t>
      </w:r>
      <w:r w:rsidR="00F462CD" w:rsidRPr="00322386">
        <w:rPr>
          <w:rFonts w:asciiTheme="majorBidi" w:hAnsiTheme="majorBidi" w:cstheme="majorBidi"/>
          <w:color w:val="000000" w:themeColor="text1"/>
        </w:rPr>
        <w:t>32-item</w:t>
      </w:r>
      <w:r w:rsidRPr="00322386">
        <w:rPr>
          <w:rFonts w:asciiTheme="majorBidi" w:hAnsiTheme="majorBidi" w:cstheme="majorBidi"/>
          <w:color w:val="000000" w:themeColor="text1"/>
        </w:rPr>
        <w:t xml:space="preserve"> tool with six subscales measuring tension, confusion, depression, anger, fatigue, and vigor.  Single word prompts are given and subjects rank their feeling of current state agreement with the prompt on a Likert scale of 0 to 4</w:t>
      </w:r>
      <w:r w:rsidR="00AF05A5" w:rsidRPr="00322386">
        <w:rPr>
          <w:rFonts w:asciiTheme="majorBidi" w:hAnsiTheme="majorBidi" w:cstheme="majorBidi"/>
          <w:color w:val="000000" w:themeColor="text1"/>
        </w:rPr>
        <w:t xml:space="preserve"> </w:t>
      </w:r>
      <w:r w:rsidR="00AF05A5"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{"citationItems":[{"id":"ITEM-1","itemData":{"DOI":"10.1016/S1469-0292(01)00035-8","ISSN":"14690292","abstract":"Objectives: To extend the validation of the Profile of Mood States-Adolescents (POMS-A: J. Sports Sci. 17 (1999) 861-872) from adolescent to adult populations. Design: A strategy of assessing the invariance of the POMS-A factor structure among disparate samples and of testing relationships with concurrent measures was used. Methods: The POMS-A was administered to 2549 participants from four samples: Adult athletes prior to competition (n =621), adult student athletes in a classroom (n =656), adolescent athletes prior to competition (n =676), and adolescent students in a classroom (n =596). A subset of 382 adult student athletes was used to test the criterion validity of the POMS-A. Results: Confirmatory factor analysis provided support for the factorial validity of a 24-item, six-factor model using both independent and multi-sample analyses. Relationships between POMS-A scores and previously validated measures, that were consistent with theoretical predictions, supported criterion validity. Conclusion: Evidence was found in support of the psychometric integrity of the POMS-A when extended from adolescent to adult populations. © 2002 Elsevier Science Ltd. All rights reserved.","author":[{"dropping-particle":"","family":"Terry","given":"P. C.","non-dropping-particle":"","parse-names":false,"suffix":""},{"dropping-particle":"","family":"Lane","given":"A. M.","non-dropping-particle":"","parse-names":false,"suffix":""},{"dropping-particle":"","family":"Fogarty","given":"G. J.","non-dropping-particle":"","parse-names":false,"suffix":""}],"container-title":"Psychology of Sport and Exercise","id":"ITEM-1","issue":"2","issued":{"date-parts":[["2003","4","1"]]},"page":"125-139","publisher":"Elsevier","title":"Construct validity of the Profile of Mood States - Adolescents for use with adults","type":"article-journal","volume":"4"},"uris":["http://www.mendeley.com/documents/?uuid=098d262b-1dd8-3f5b-beba-78cffabceee1"]},{"id":"ITEM-2","itemData":{"DOI":"10.1097/00005053-197910000-00004","ISSN":"1539736X","PMID":"226658","abstract":"Spontaneously occurring mood states and various physiological indices were evaluated on three occasions in a group of eight healthy males. Results reveal that significant positive correlations exist among five of the six factors comprising the Profile of Mood States (POMS). This finding is related to previous research on the POMS and varied methodologies utilized in those reports. Reliable positive correlations of the POMS factors Depression and Tension with heart rate and diastolic blood pressure were obtained. The Anger factor of the POMS also correlated positively and significantly with heart rate. These findings are discussed in terms of the relationship between POMS factors and anxiety. © 1979 by The Williams &amp; Wilkins Co.","author":[{"dropping-particle":"","family":"Pollock","given":"Vicki","non-dropping-particle":"","parse-names":false,"suffix":""},{"dropping-particle":"","family":"Cho","given":"Dong W.","non-dropping-particle":"","parse-names":false,"suffix":""},{"dropping-particle":"","family":"Reker","given":"Dean","non-dropping-particle":"","parse-names":false,"suffix":""},{"dropping-particle":"","family":"Volavka","given":"Jan","non-dropping-particle":"","parse-names":false,"suffix":""}],"container-title":"Journal of Nervous and Mental Disease","id":"ITEM-2","issue":"10","issued":{"date-parts":[["1979"]]},"page":"612-614","publisher":"J Nerv Ment Dis","title":"Profile of mood states: The factors and their physiological correlates","type":"article-journal","volume":"167"},"uris":["http://www.mendeley.com/documents/?uuid=580d1f76-603c-304f-871f-6176a564973b"]}],"mendeley":{"formattedCitation":"[22], [23]","plainTextFormattedCitation":"[22], [23]","previouslyFormattedCitation":"[21], [22]"},"properties":{"noteIndex":0},"schema":"https://github.com/citation-style-language/schema/raw/master/csl-citation.json"}</w:instrText>
      </w:r>
      <w:r w:rsidR="00AF05A5"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[22], [23]</w:t>
      </w:r>
      <w:r w:rsidR="00AF05A5"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w:t>
      </w:r>
    </w:p>
    <w:p w14:paraId="67B13682" w14:textId="0C2BE463" w:rsidR="006D4E60" w:rsidRPr="00322386" w:rsidRDefault="00063B85">
      <w:pPr>
        <w:numPr>
          <w:ilvl w:val="0"/>
          <w:numId w:val="1"/>
        </w:num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The Pittsburgh Sleep Quality Inventory, a </w:t>
      </w:r>
      <w:proofErr w:type="gramStart"/>
      <w:r w:rsidRPr="00322386">
        <w:rPr>
          <w:rFonts w:asciiTheme="majorBidi" w:hAnsiTheme="majorBidi" w:cstheme="majorBidi"/>
          <w:color w:val="000000" w:themeColor="text1"/>
        </w:rPr>
        <w:t>19 item</w:t>
      </w:r>
      <w:proofErr w:type="gramEnd"/>
      <w:r w:rsidRPr="00322386">
        <w:rPr>
          <w:rFonts w:asciiTheme="majorBidi" w:hAnsiTheme="majorBidi" w:cstheme="majorBidi"/>
          <w:color w:val="000000" w:themeColor="text1"/>
        </w:rPr>
        <w:t xml:space="preserve"> tool with 7 subscales: subjective sleep quality, sleep latency (time to fall asleep), sleep duration, sleep efficiency (ratio of time in bed by sleep duration), sleep disturbance, use of sleep </w:t>
      </w:r>
      <w:r w:rsidRPr="00322386">
        <w:rPr>
          <w:rFonts w:asciiTheme="majorBidi" w:hAnsiTheme="majorBidi" w:cstheme="majorBidi"/>
          <w:color w:val="000000" w:themeColor="text1"/>
        </w:rPr>
        <w:lastRenderedPageBreak/>
        <w:t>medication, and daytime dysfunction. Each component is scored 0 to 3, with higher numbers indicating greater sleep difficulty. An overall sum of 5 or higher indicates poor sleep.  While the typical PSQI is used over an interval of one month, the current version was adapted by Beck et al. (2004) to use a one-week interval</w:t>
      </w:r>
      <w:r w:rsidR="00AF05A5" w:rsidRPr="00322386">
        <w:rPr>
          <w:rFonts w:asciiTheme="majorBidi" w:hAnsiTheme="majorBidi" w:cstheme="majorBidi"/>
          <w:color w:val="000000" w:themeColor="text1"/>
        </w:rPr>
        <w:t xml:space="preserve"> </w:t>
      </w:r>
      <w:r w:rsidR="00AF05A5"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{"citationItems":[{"id":"ITEM-1","itemData":{"DOI":"10.1016/0165-1781(89)90047-4","ISSN":"01651781","PMID":"2748771","abstract":"Despite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 0.001) in distinguishing good and poor sleepers. The clinemetric and clinical properties of the PSQI suggest its utility both in psychiatric clinical practice and research activities. © 1989.","author":[{"dropping-particle":"","family":"Buysse","given":"Daniel J.","non-dropping-particle":"","parse-names":false,"suffix":""},{"dropping-particle":"","family":"Reynolds","given":"Charles F.","non-dropping-particle":"","parse-names":false,"suffix":""},{"dropping-particle":"","family":"Monk","given":"Timothy H.","non-dropping-particle":"","parse-names":false,"suffix":""},{"dropping-particle":"","family":"Berman","given":"Susan R.","non-dropping-particle":"","parse-names":false,"suffix":""},{"dropping-particle":"","family":"Kupfer","given":"David J.","non-dropping-particle":"","parse-names":false,"suffix":""}],"container-title":"Psychiatry Research","id":"ITEM-1","issue":"2","issued":{"date-parts":[["1989"]]},"page":"193-213","publisher":"Psychiatry Res","title":"The Pittsburgh sleep quality index: A new instrument for psychiatric practice and research","type":"article-journal","volume":"28"},"uris":["http://www.mendeley.com/documents/?uuid=67a0dddd-a612-3fca-9875-af77c36b2159"]},{"id":"ITEM-2","itemData":{"DOI":"10.1016/j.jpainsymman.2003.12.002","ISSN":"08853924","PMID":"15157038","abstract":"This report summarizes findings related to the psychometric properties (internal consistency and construct validity) of the Pittsburgh Sleep Quality Index (PSQI) and discusses issues related to its use based on data from two clinical studies with diverse samples of cancer patients. Subjects completed a questionnaire that included the PSQI, the Schwartz Cancer Fatigue Scale, and specific demographic, disease, and treatment variables. There were complete data on 170 (of 214) cases in Study 1 and 249 (of 259) cases in Study 2. The Cronbach's alpha for the Global Sleep Quality scale was 0.81 in Study 1 and 0. 77 in Study 2. A comparison of Global Sleep Quality in two contrasting groups with low and high fatigue yielded statistically significant differences in both samples. Psychometric evaluation supports its internal consistency reliability and construct validity. However, the scoring is rather cumbersome and raises questions regarding level of measurement and appropriate analysis techniques. © 2004 U.S. Cancer Pain Relief Committee. Published by Elsevier Inc. All rights reserved.","author":[{"dropping-particle":"","family":"Beck","given":"Susan L.","non-dropping-particle":"","parse-names":false,"suffix":""},{"dropping-particle":"","family":"Schwartz","given":"Anna L.","non-dropping-particle":"","parse-names":false,"suffix":""},{"dropping-particle":"","family":"Towsley","given":"Gail","non-dropping-particle":"","parse-names":false,"suffix":""},{"dropping-particle":"","family":"Dudley","given":"William","non-dropping-particle":"","parse-names":false,"suffix":""},{"dropping-particle":"","family":"Barsevick","given":"Andrea","non-dropping-particle":"","parse-names":false,"suffix":""}],"container-title":"Journal of Pain and Symptom Management","id":"ITEM-2","issue":"2","issued":{"date-parts":[["2004"]]},"page":"140-148","publisher":"J Pain Symptom Manage","title":"Psychometric evaluation of the Pittsburgh sleep quality index in cancer patients","type":"article-journal","volume":"27"},"uris":["http://www.mendeley.com/documents/?uuid=10ec1fbf-7612-3d74-ad1e-08dc87cfd42d"]}],"mendeley":{"formattedCitation":"[24], [25]","plainTextFormattedCitation":"[24], [25]","previouslyFormattedCitation":"[23], [24]"},"properties":{"noteIndex":0},"schema":"https://github.com/citation-style-language/schema/raw/master/csl-citation.json"}</w:instrText>
      </w:r>
      <w:r w:rsidR="00AF05A5"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[24], [25]</w:t>
      </w:r>
      <w:r w:rsidR="00AF05A5"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w:t>
      </w:r>
    </w:p>
    <w:p w14:paraId="1485122A" w14:textId="534FC7D1" w:rsidR="006D4E60" w:rsidRPr="00322386" w:rsidRDefault="00063B85">
      <w:pPr>
        <w:numPr>
          <w:ilvl w:val="0"/>
          <w:numId w:val="1"/>
        </w:numPr>
        <w:jc w:val="both"/>
        <w:rPr>
          <w:rFonts w:asciiTheme="majorBidi" w:hAnsiTheme="majorBidi" w:cstheme="majorBidi"/>
          <w:color w:val="000000" w:themeColor="text1"/>
        </w:rPr>
      </w:pPr>
      <w:r w:rsidRPr="00322386">
        <w:rPr>
          <w:rFonts w:asciiTheme="majorBidi" w:hAnsiTheme="majorBidi" w:cstheme="majorBidi"/>
          <w:color w:val="000000" w:themeColor="text1"/>
        </w:rPr>
        <w:t>The International Physical Activity Questionnaire (</w:t>
      </w:r>
      <w:proofErr w:type="gramStart"/>
      <w:r w:rsidRPr="00322386">
        <w:rPr>
          <w:rFonts w:asciiTheme="majorBidi" w:hAnsiTheme="majorBidi" w:cstheme="majorBidi"/>
          <w:color w:val="000000" w:themeColor="text1"/>
        </w:rPr>
        <w:t>short-form</w:t>
      </w:r>
      <w:proofErr w:type="gramEnd"/>
      <w:r w:rsidRPr="00322386">
        <w:rPr>
          <w:rFonts w:asciiTheme="majorBidi" w:hAnsiTheme="majorBidi" w:cstheme="majorBidi"/>
          <w:color w:val="000000" w:themeColor="text1"/>
        </w:rPr>
        <w:t>) calculates an overall physical activity score based on time and intensity, with a separate question for total seated minutes. It reflects only activity over the preceding 7 days</w:t>
      </w:r>
      <w:r w:rsidR="00AF05A5" w:rsidRPr="00322386">
        <w:rPr>
          <w:rFonts w:asciiTheme="majorBidi" w:hAnsiTheme="majorBidi" w:cstheme="majorBidi"/>
          <w:color w:val="000000" w:themeColor="text1"/>
        </w:rPr>
        <w:t xml:space="preserve"> </w:t>
      </w:r>
      <w:r w:rsidR="00AF05A5"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{"citationItems":[{"id":"ITEM-1","itemData":{"DOI":"10.1249/01.MSS.0000078924.61453.FB","ISSN":"01959131","PMID":"12900694","abstract":"Background: Physical inactivity is a global concern, but diverse physical activity measures in use prevent international comparisons. The International Physical Activity Questionnaire (IPAQ) was developed as an instrument for cross-national monitoring of physical activity and inactivity. Methods: Between 1997 and 1998, an International Consensus Group developed four long and four short forms of the IPAQ instruments (administered by telephone interview or self-administration, with two alternate reference periods, either the \"last 7 d\" or a \"usual week\" of recalled physical activity). During 2000, 14 centers from 12 countries collected reliability and/or validity data on at least two of the eight IPAQ instruments. Test-retest repeatability was assessed within the same week. Concurrent (inter-method) validity was assessed at the same administration, and criterion IPAQ validity was assessed against the CSA (now MTI) accelerometer. Spearman's correlation coefficients are reported, based on the total reported physical activity. Results: Overall, the IPAQ questionnaires produced repeatable data (Spearman's p clustered around 0.8), with comparable data from short and long forms. Criterion validity had a median p of about 0.30, which was comparable to most other self-report validation studies. The \"usual week\" and \"last 7 d\" reference periods performed similarly, and the reliability of telephone administration was similar to the self-administered mode. Conclusions: The IPAQ instruments have acceptable measurement properties, at least as good as other established self-reports. Considering the diverse samples in this study, IPAQ has reasonable measurement properties for monitoring population levels of physical activity among 18- to 65-yr-old adults in diverse settings. The short IPAQ form \"last 7 d recall\" is recommended for national monitoring and the long form for research requiring more detailed assessment.","author":[{"dropping-particle":"","family":"Craig","given":"Cora L.","non-dropping-particle":"","parse-names":false,"suffix":""},{"dropping-particle":"","family":"Marshall","given":"Alison L.","non-dropping-particle":"","parse-names":false,"suffix":""},{"dropping-particle":"","family":"Sjöström","given":"Michael","non-dropping-particle":"","parse-names":false,"suffix":""},{"dropping-particle":"","family":"Bauman","given":"Adrian E.","non-dropping-particle":"","parse-names":false,"suffix":""},{"dropping-particle":"","family":"Booth","given":"Michael L.","non-dropping-particle":"","parse-names":false,"suffix":""},{"dropping-particle":"","family":"Ainsworth","given":"Barbara E.","non-dropping-particle":"","parse-names":false,"suffix":""},{"dropping-particle":"","family":"Pratt","given":"Michael","non-dropping-particle":"","parse-names":false,"suffix":""},{"dropping-particle":"","family":"Ekelund","given":"Ulf","non-dropping-particle":"","parse-names":false,"suffix":""},{"dropping-particle":"","family":"Yngve","given":"Agneta","non-dropping-particle":"","parse-names":false,"suffix":""},{"dropping-particle":"","family":"Sallis","given":"James F.","non-dropping-particle":"","parse-names":false,"suffix":""},{"dropping-particle":"","family":"Oja","given":"Pekka","non-dropping-particle":"","parse-names":false,"suffix":""}],"container-title":"Medicine and Science in Sports and Exercise","id":"ITEM-1","issue":"8","issued":{"date-parts":[["2003","8","1"]]},"page":"1381-1395","publisher":"Med Sci Sports Exerc","title":"International physical activity questionnaire: 12-Country reliability and validity","type":"article-journal","volume":"35"},"uris":["http://www.mendeley.com/documents/?uuid=06e7d741-b34e-38da-8d71-e704c40ca033"]}],"mendeley":{"formattedCitation":"[26]","plainTextFormattedCitation":"[26]","previouslyFormattedCitation":"[25]"},"properties":{"noteIndex":0},"schema":"https://github.com/citation-style-language/schema/raw/master/csl-citation.json"}</w:instrText>
      </w:r>
      <w:r w:rsidR="00AF05A5"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[26]</w:t>
      </w:r>
      <w:r w:rsidR="00AF05A5"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w:t>
      </w:r>
    </w:p>
    <w:p w14:paraId="50168F2D" w14:textId="33C63726" w:rsidR="006D4E60" w:rsidRPr="00322386" w:rsidRDefault="00063B85">
      <w:pPr>
        <w:numPr>
          <w:ilvl w:val="0"/>
          <w:numId w:val="1"/>
        </w:numPr>
        <w:jc w:val="both"/>
        <w:rPr>
          <w:rFonts w:asciiTheme="majorBidi" w:hAnsiTheme="majorBidi" w:cstheme="majorBidi"/>
          <w:color w:val="000000" w:themeColor="text1"/>
        </w:rPr>
      </w:pPr>
      <w:r w:rsidRPr="00322386">
        <w:rPr>
          <w:rFonts w:asciiTheme="majorBidi" w:hAnsiTheme="majorBidi" w:cstheme="majorBidi"/>
          <w:color w:val="000000" w:themeColor="text1"/>
        </w:rPr>
        <w:t>The State Trait Anxiety Inventory is a 40-item tool with scales for State anxiety (for current state) and Trait Anxiety (for overall personality bias toward anxiety).  Only the 20-item State subscale was used for this study</w:t>
      </w:r>
      <w:r w:rsidR="00AF05A5"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Scores range from 20-80 with higher scores indicating greater state anxiety.  Clinically, a score of 39-40 has been suggested for detecting clinically-significant symptoms, though other studies have suggested much higher: 54-55</w:t>
      </w:r>
      <w:r w:rsidR="00AF05A5" w:rsidRPr="00322386">
        <w:rPr>
          <w:rFonts w:asciiTheme="majorBidi" w:hAnsiTheme="majorBidi" w:cstheme="majorBidi"/>
          <w:color w:val="000000" w:themeColor="text1"/>
        </w:rPr>
        <w:t xml:space="preserve"> </w:t>
      </w:r>
      <w:r w:rsidR="00AF05A5"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{"citationItems":[{"id":"ITEM-1","itemData":{"DOI":"10.1111/j.2044-8260.1992.tb00997.x","ISSN":"20448260","abstract":"Two studies are reported describing the development of a short-form of the state scale of the Spielberger State-Trait Anxiety Inventory (STAI) for use in circumstances where the full-form is inappropriate. Using item-remainder correlations, the most highly correlated anxiety-present and anxiety-absent items were combined, and correlated with scores obtained using the full-form of the STAI. Correlation coefficients greater than .90 were obtained using four and six items from the STAI. Acceptable reliability and validity were obtained using six items. The use of this six-item short-form produced scores similar to those obtained using the full-form. This was so for several groups of subjects manifesting a range of anxiety levels. This short-form of the STAI is therefore sensitive to fluctuations in state anxiety. When compared with the full-form of the STAI, the six-item version offers a briefer and just as acceptable scale for subjects while maintaining results that are comparable to those obtained using the full-form of the STAI.","author":[{"dropping-particle":"","family":"Marteau","given":"Theresa M.","non-dropping-particle":"","parse-names":false,"suffix":""},{"dropping-particle":"","family":"Bekker","given":"Hilary","non-dropping-particle":"","parse-names":false,"suffix":""}],"container-title":"British Journal of Clinical Psychology","id":"ITEM-1","issue":"3","issued":{"date-parts":[["1992"]]},"page":"301-306","title":"The development of a six‐item short‐form of the state scale of the Spielberger State—Trait Anxiety Inventory (STAI)","type":"article-journal","volume":"31"},"uris":["http://www.mendeley.com/documents/?uuid=0c9274f1-e3c3-4ac8-af07-8c603587612d"]}],"mendeley":{"formattedCitation":"[27]","plainTextFormattedCitation":"[27]","previouslyFormattedCitation":"[26]"},"properties":{"noteIndex":0},"schema":"https://github.com/citation-style-language/schema/raw/master/csl-citation.json"}</w:instrText>
      </w:r>
      <w:r w:rsidR="00AF05A5"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[27]</w:t>
      </w:r>
      <w:r w:rsidR="00AF05A5"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w:t>
      </w:r>
    </w:p>
    <w:p w14:paraId="0C7F9ADA" w14:textId="77777777" w:rsidR="006D4E60" w:rsidRPr="00322386" w:rsidRDefault="00063B85">
      <w:pPr>
        <w:numPr>
          <w:ilvl w:val="0"/>
          <w:numId w:val="1"/>
        </w:num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A section on the use of stimulating substances such as alcohol, tobacco, and caffeine. This section only considered the previous 7 days.  Subjects were also asked whether the lockdown had </w:t>
      </w:r>
      <w:proofErr w:type="gramStart"/>
      <w:r w:rsidRPr="00322386">
        <w:rPr>
          <w:rFonts w:asciiTheme="majorBidi" w:hAnsiTheme="majorBidi" w:cstheme="majorBidi"/>
          <w:color w:val="000000" w:themeColor="text1"/>
        </w:rPr>
        <w:t>effected</w:t>
      </w:r>
      <w:proofErr w:type="gramEnd"/>
      <w:r w:rsidRPr="00322386">
        <w:rPr>
          <w:rFonts w:asciiTheme="majorBidi" w:hAnsiTheme="majorBidi" w:cstheme="majorBidi"/>
          <w:color w:val="000000" w:themeColor="text1"/>
        </w:rPr>
        <w:t xml:space="preserve"> their habits in these areas.  Outcomes included daily cups of coffee, glasses per day of liquor, wine, beer, and “other caffeinated beverages”, as well as daily cigarette intake.</w:t>
      </w:r>
    </w:p>
    <w:p w14:paraId="16644715" w14:textId="438AD762" w:rsidR="006D4E60" w:rsidRPr="00322386" w:rsidRDefault="00063B85">
      <w:pPr>
        <w:numPr>
          <w:ilvl w:val="0"/>
          <w:numId w:val="1"/>
        </w:numPr>
        <w:jc w:val="both"/>
        <w:rPr>
          <w:rFonts w:asciiTheme="majorBidi" w:hAnsiTheme="majorBidi" w:cstheme="majorBidi"/>
          <w:color w:val="000000" w:themeColor="text1"/>
        </w:rPr>
      </w:pPr>
      <w:r w:rsidRPr="00322386">
        <w:rPr>
          <w:rFonts w:asciiTheme="majorBidi" w:hAnsiTheme="majorBidi" w:cstheme="majorBidi"/>
          <w:color w:val="000000" w:themeColor="text1"/>
        </w:rPr>
        <w:t>A section related to the pandemic itself</w:t>
      </w:r>
      <w:r w:rsidR="00AF05A5"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These questions asked respondents to rank their agreement with statements regarding the pandemic</w:t>
      </w:r>
      <w:r w:rsidR="00AF05A5"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These included whether they thought the pandemic would last long, if they trusted authorities to handle the crisis, if they perceived the virus to be a life-threatening disease, if they believed any conspiracies surrounding the pandemic, and whether or not they had been </w:t>
      </w:r>
      <w:proofErr w:type="gramStart"/>
      <w:r w:rsidRPr="00322386">
        <w:rPr>
          <w:rFonts w:asciiTheme="majorBidi" w:hAnsiTheme="majorBidi" w:cstheme="majorBidi"/>
          <w:color w:val="000000" w:themeColor="text1"/>
        </w:rPr>
        <w:t>effected</w:t>
      </w:r>
      <w:proofErr w:type="gramEnd"/>
      <w:r w:rsidRPr="00322386">
        <w:rPr>
          <w:rFonts w:asciiTheme="majorBidi" w:hAnsiTheme="majorBidi" w:cstheme="majorBidi"/>
          <w:color w:val="000000" w:themeColor="text1"/>
        </w:rPr>
        <w:t>, knew someone close to them who had contracted the virus, or experienced the death of someone close to them due to the virus.</w:t>
      </w:r>
    </w:p>
    <w:p w14:paraId="2007B8B6" w14:textId="123249A9" w:rsidR="006D4E60" w:rsidRPr="00322386" w:rsidRDefault="00063B85">
      <w:pPr>
        <w:numPr>
          <w:ilvl w:val="0"/>
          <w:numId w:val="1"/>
        </w:num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A section on the </w:t>
      </w:r>
      <w:proofErr w:type="spellStart"/>
      <w:r w:rsidRPr="00322386">
        <w:rPr>
          <w:rFonts w:asciiTheme="majorBidi" w:hAnsiTheme="majorBidi" w:cstheme="majorBidi"/>
          <w:color w:val="000000" w:themeColor="text1"/>
        </w:rPr>
        <w:t>salutogenic</w:t>
      </w:r>
      <w:proofErr w:type="spellEnd"/>
      <w:r w:rsidRPr="00322386">
        <w:rPr>
          <w:rFonts w:asciiTheme="majorBidi" w:hAnsiTheme="majorBidi" w:cstheme="majorBidi"/>
          <w:color w:val="000000" w:themeColor="text1"/>
        </w:rPr>
        <w:t xml:space="preserve"> effects of the lockdown</w:t>
      </w:r>
      <w:r w:rsidR="00AF05A5"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Respondents were asked whether they had perceived any positive effects of the situation on their life and could answer with a simple yes or </w:t>
      </w:r>
      <w:r w:rsidR="00AF05A5" w:rsidRPr="00322386">
        <w:rPr>
          <w:rFonts w:asciiTheme="majorBidi" w:hAnsiTheme="majorBidi" w:cstheme="majorBidi"/>
          <w:color w:val="000000" w:themeColor="text1"/>
        </w:rPr>
        <w:t xml:space="preserve">no. </w:t>
      </w:r>
      <w:r w:rsidRPr="00322386">
        <w:rPr>
          <w:rFonts w:asciiTheme="majorBidi" w:hAnsiTheme="majorBidi" w:cstheme="majorBidi"/>
          <w:color w:val="000000" w:themeColor="text1"/>
        </w:rPr>
        <w:t xml:space="preserve">Potential effects included time for exercise, </w:t>
      </w:r>
      <w:r w:rsidRPr="00322386">
        <w:rPr>
          <w:rFonts w:asciiTheme="majorBidi" w:hAnsiTheme="majorBidi" w:cstheme="majorBidi"/>
          <w:color w:val="000000" w:themeColor="text1"/>
        </w:rPr>
        <w:t>time for family, or the ability to participate in online courses</w:t>
      </w:r>
      <w:r w:rsidR="00AF05A5"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At the time of this writing, this section has not yet been analyzed.</w:t>
      </w:r>
    </w:p>
    <w:p w14:paraId="6345EDEA" w14:textId="77777777" w:rsidR="006D4E60" w:rsidRPr="00322386" w:rsidRDefault="006D4E60">
      <w:pPr>
        <w:jc w:val="both"/>
        <w:rPr>
          <w:rFonts w:asciiTheme="majorBidi" w:hAnsiTheme="majorBidi" w:cstheme="majorBidi"/>
          <w:color w:val="000000" w:themeColor="text1"/>
        </w:rPr>
      </w:pPr>
    </w:p>
    <w:p w14:paraId="0CC51502" w14:textId="77777777"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The complete survey and anonymized data set can be found (for the purposes of this paper) in a Google Drive folder </w:t>
      </w:r>
      <w:hyperlink r:id="rId10">
        <w:r w:rsidRPr="00322386">
          <w:rPr>
            <w:rFonts w:asciiTheme="majorBidi" w:hAnsiTheme="majorBidi" w:cstheme="majorBidi"/>
            <w:color w:val="000000" w:themeColor="text1"/>
            <w:u w:val="single"/>
          </w:rPr>
          <w:t>HERE</w:t>
        </w:r>
      </w:hyperlink>
      <w:r w:rsidRPr="00322386">
        <w:rPr>
          <w:rFonts w:asciiTheme="majorBidi" w:hAnsiTheme="majorBidi" w:cstheme="majorBidi"/>
          <w:color w:val="000000" w:themeColor="text1"/>
        </w:rPr>
        <w:t>.</w:t>
      </w:r>
    </w:p>
    <w:p w14:paraId="113F8038" w14:textId="77777777" w:rsidR="006D4E60" w:rsidRPr="00322386" w:rsidRDefault="00063B85" w:rsidP="003A7987">
      <w:pPr>
        <w:pStyle w:val="Heading3"/>
        <w:rPr>
          <w:rFonts w:asciiTheme="majorBidi" w:hAnsiTheme="majorBidi" w:cstheme="majorBidi"/>
          <w:color w:val="000000" w:themeColor="text1"/>
        </w:rPr>
      </w:pPr>
      <w:bookmarkStart w:id="12" w:name="_mmbkp4joatzb" w:colFirst="0" w:colLast="0"/>
      <w:bookmarkEnd w:id="12"/>
      <w:r w:rsidRPr="00322386">
        <w:rPr>
          <w:rFonts w:asciiTheme="majorBidi" w:hAnsiTheme="majorBidi" w:cstheme="majorBidi"/>
          <w:color w:val="000000" w:themeColor="text1"/>
        </w:rPr>
        <w:t>·         Data analysis</w:t>
      </w:r>
    </w:p>
    <w:p w14:paraId="4C26956C" w14:textId="354E31F1"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Alpha levels of 0.05 were used for all tests. Data was tested using </w:t>
      </w:r>
      <w:proofErr w:type="spellStart"/>
      <w:r w:rsidRPr="00322386">
        <w:rPr>
          <w:rFonts w:asciiTheme="majorBidi" w:hAnsiTheme="majorBidi" w:cstheme="majorBidi"/>
          <w:color w:val="000000" w:themeColor="text1"/>
        </w:rPr>
        <w:t>Matlab</w:t>
      </w:r>
      <w:proofErr w:type="spellEnd"/>
      <w:r w:rsidRPr="00322386">
        <w:rPr>
          <w:rFonts w:asciiTheme="majorBidi" w:hAnsiTheme="majorBidi" w:cstheme="majorBidi"/>
          <w:color w:val="000000" w:themeColor="text1"/>
        </w:rPr>
        <w:t xml:space="preserve"> (2015,</w:t>
      </w:r>
      <w:r w:rsidR="0009673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2016, </w:t>
      </w:r>
      <w:r w:rsidR="00096730" w:rsidRPr="00322386">
        <w:rPr>
          <w:rFonts w:asciiTheme="majorBidi" w:hAnsiTheme="majorBidi" w:cstheme="majorBidi"/>
          <w:color w:val="000000" w:themeColor="text1"/>
        </w:rPr>
        <w:t xml:space="preserve">2020 </w:t>
      </w:r>
      <w:r w:rsidRPr="00322386">
        <w:rPr>
          <w:rFonts w:asciiTheme="majorBidi" w:hAnsiTheme="majorBidi" w:cstheme="majorBidi"/>
          <w:color w:val="000000" w:themeColor="text1"/>
        </w:rPr>
        <w:t>and 202</w:t>
      </w:r>
      <w:r w:rsidR="00096730" w:rsidRPr="00322386">
        <w:rPr>
          <w:rFonts w:asciiTheme="majorBidi" w:hAnsiTheme="majorBidi" w:cstheme="majorBidi"/>
          <w:color w:val="000000" w:themeColor="text1"/>
        </w:rPr>
        <w:t>1</w:t>
      </w:r>
      <w:r w:rsidRPr="00322386">
        <w:rPr>
          <w:rFonts w:asciiTheme="majorBidi" w:hAnsiTheme="majorBidi" w:cstheme="majorBidi"/>
          <w:color w:val="000000" w:themeColor="text1"/>
        </w:rPr>
        <w:t xml:space="preserve"> versions,</w:t>
      </w:r>
      <w:r w:rsidR="0009673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Natick, Massachusetts: The MathWorks Inc.)  and SPSS (1.27, IBM Corp)</w:t>
      </w:r>
      <w:r w:rsidR="0009673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Directions to view the </w:t>
      </w:r>
      <w:proofErr w:type="spellStart"/>
      <w:r w:rsidRPr="00322386">
        <w:rPr>
          <w:rFonts w:asciiTheme="majorBidi" w:hAnsiTheme="majorBidi" w:cstheme="majorBidi"/>
          <w:color w:val="000000" w:themeColor="text1"/>
        </w:rPr>
        <w:t>Matlab</w:t>
      </w:r>
      <w:proofErr w:type="spellEnd"/>
      <w:r w:rsidRPr="00322386">
        <w:rPr>
          <w:rFonts w:asciiTheme="majorBidi" w:hAnsiTheme="majorBidi" w:cstheme="majorBidi"/>
          <w:color w:val="000000" w:themeColor="text1"/>
        </w:rPr>
        <w:t xml:space="preserve"> code used herein can found in the Appendix.</w:t>
      </w:r>
    </w:p>
    <w:p w14:paraId="7F3F2919" w14:textId="77777777" w:rsidR="006D4E60" w:rsidRPr="00322386" w:rsidRDefault="006D4E60">
      <w:pPr>
        <w:jc w:val="both"/>
        <w:rPr>
          <w:rFonts w:asciiTheme="majorBidi" w:hAnsiTheme="majorBidi" w:cstheme="majorBidi"/>
          <w:color w:val="000000" w:themeColor="text1"/>
        </w:rPr>
      </w:pPr>
    </w:p>
    <w:p w14:paraId="35188E42" w14:textId="629A1396" w:rsidR="006D4E60" w:rsidRPr="00322386" w:rsidRDefault="000D3480">
      <w:pPr>
        <w:jc w:val="both"/>
        <w:rPr>
          <w:rFonts w:asciiTheme="majorBidi" w:hAnsiTheme="majorBidi" w:cstheme="majorBidi"/>
          <w:color w:val="000000" w:themeColor="text1"/>
        </w:rPr>
      </w:pPr>
      <w:r w:rsidRPr="00322386">
        <w:rPr>
          <w:rFonts w:asciiTheme="majorBidi" w:hAnsiTheme="majorBidi" w:cstheme="majorBidi"/>
          <w:noProof/>
          <w:color w:val="000000" w:themeColor="text1"/>
        </w:rPr>
        <w:lastRenderedPageBreak/>
        <w:drawing>
          <wp:anchor distT="114300" distB="114300" distL="114300" distR="114300" simplePos="0" relativeHeight="251659264" behindDoc="1" locked="0" layoutInCell="1" hidden="0" allowOverlap="1" wp14:anchorId="3F94F712" wp14:editId="2C271154">
            <wp:simplePos x="0" y="0"/>
            <wp:positionH relativeFrom="page">
              <wp:posOffset>523875</wp:posOffset>
            </wp:positionH>
            <wp:positionV relativeFrom="page">
              <wp:posOffset>5219700</wp:posOffset>
            </wp:positionV>
            <wp:extent cx="6858000" cy="3894432"/>
            <wp:effectExtent l="0" t="0" r="0" b="0"/>
            <wp:wrapTight wrapText="bothSides">
              <wp:wrapPolygon edited="0">
                <wp:start x="0" y="0"/>
                <wp:lineTo x="0" y="21452"/>
                <wp:lineTo x="21120" y="21452"/>
                <wp:lineTo x="21120" y="0"/>
                <wp:lineTo x="0" y="0"/>
              </wp:wrapPolygon>
            </wp:wrapTight>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858000" cy="3894432"/>
                    </a:xfrm>
                    <a:prstGeom prst="rect">
                      <a:avLst/>
                    </a:prstGeom>
                    <a:ln/>
                  </pic:spPr>
                </pic:pic>
              </a:graphicData>
            </a:graphic>
          </wp:anchor>
        </w:drawing>
      </w:r>
      <w:r w:rsidR="00063B85" w:rsidRPr="00322386">
        <w:rPr>
          <w:rFonts w:asciiTheme="majorBidi" w:hAnsiTheme="majorBidi" w:cstheme="majorBidi"/>
          <w:color w:val="000000" w:themeColor="text1"/>
        </w:rPr>
        <w:t>Changes through time were analyzed with one-way between-subjects analysis of variance tests where assumptions were verified, or two-way ANOVA when SEX and ALONE factors were included</w:t>
      </w:r>
      <w:r w:rsidR="00096730" w:rsidRPr="00322386">
        <w:rPr>
          <w:rFonts w:asciiTheme="majorBidi" w:hAnsiTheme="majorBidi" w:cstheme="majorBidi"/>
          <w:color w:val="000000" w:themeColor="text1"/>
        </w:rPr>
        <w:t xml:space="preserve">. </w:t>
      </w:r>
      <w:r w:rsidR="00063B85" w:rsidRPr="00322386">
        <w:rPr>
          <w:rFonts w:asciiTheme="majorBidi" w:hAnsiTheme="majorBidi" w:cstheme="majorBidi"/>
          <w:color w:val="000000" w:themeColor="text1"/>
        </w:rPr>
        <w:t xml:space="preserve">Following detection of significant variance differences, Tukey’s post hoc analysis was performed to determine pairwise levels of significance, with a </w:t>
      </w:r>
      <w:proofErr w:type="spellStart"/>
      <w:r w:rsidR="00063B85" w:rsidRPr="00322386">
        <w:rPr>
          <w:rFonts w:asciiTheme="majorBidi" w:hAnsiTheme="majorBidi" w:cstheme="majorBidi"/>
          <w:color w:val="000000" w:themeColor="text1"/>
        </w:rPr>
        <w:t>Bonferonni</w:t>
      </w:r>
      <w:proofErr w:type="spellEnd"/>
      <w:r w:rsidR="00063B85" w:rsidRPr="00322386">
        <w:rPr>
          <w:rFonts w:asciiTheme="majorBidi" w:hAnsiTheme="majorBidi" w:cstheme="majorBidi"/>
          <w:color w:val="000000" w:themeColor="text1"/>
        </w:rPr>
        <w:t xml:space="preserve"> correction for multiple comparisons.</w:t>
      </w:r>
    </w:p>
    <w:p w14:paraId="0A163C4B" w14:textId="7164C918" w:rsidR="006D4E60" w:rsidRPr="00322386" w:rsidRDefault="000D3480">
      <w:pPr>
        <w:jc w:val="both"/>
        <w:rPr>
          <w:rFonts w:asciiTheme="majorBidi" w:hAnsiTheme="majorBidi" w:cstheme="majorBidi"/>
          <w:color w:val="000000" w:themeColor="text1"/>
        </w:rPr>
      </w:pPr>
      <w:r w:rsidRPr="00322386">
        <w:rPr>
          <w:rFonts w:asciiTheme="majorBidi" w:hAnsiTheme="majorBidi" w:cstheme="majorBidi"/>
          <w:noProof/>
          <w:color w:val="000000" w:themeColor="text1"/>
        </w:rPr>
        <mc:AlternateContent>
          <mc:Choice Requires="wps">
            <w:drawing>
              <wp:anchor distT="0" distB="0" distL="114300" distR="114300" simplePos="0" relativeHeight="251663360" behindDoc="0" locked="0" layoutInCell="1" allowOverlap="1" wp14:anchorId="3DBF8E51" wp14:editId="4E21FEAB">
                <wp:simplePos x="0" y="0"/>
                <wp:positionH relativeFrom="column">
                  <wp:posOffset>-3543300</wp:posOffset>
                </wp:positionH>
                <wp:positionV relativeFrom="paragraph">
                  <wp:posOffset>8401685</wp:posOffset>
                </wp:positionV>
                <wp:extent cx="68580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111D1CD" w14:textId="698F7867" w:rsidR="000D3480" w:rsidRPr="004821F8" w:rsidRDefault="000D3480" w:rsidP="000D3480">
                            <w:pPr>
                              <w:pStyle w:val="Caption"/>
                              <w:rPr>
                                <w:noProof/>
                              </w:rPr>
                            </w:pPr>
                            <w:r>
                              <w:t xml:space="preserve">Figure </w:t>
                            </w:r>
                            <w:r w:rsidR="00D35890">
                              <w:fldChar w:fldCharType="begin"/>
                            </w:r>
                            <w:r w:rsidR="00D35890">
                              <w:instrText xml:space="preserve"> SEQ Figure \* ARABIC </w:instrText>
                            </w:r>
                            <w:r w:rsidR="00D35890">
                              <w:fldChar w:fldCharType="separate"/>
                            </w:r>
                            <w:r w:rsidR="00C13A12">
                              <w:rPr>
                                <w:noProof/>
                              </w:rPr>
                              <w:t>2</w:t>
                            </w:r>
                            <w:r w:rsidR="00D35890">
                              <w:rPr>
                                <w:noProof/>
                              </w:rPr>
                              <w:fldChar w:fldCharType="end"/>
                            </w:r>
                            <w:r>
                              <w:t xml:space="preserve"> : Experimental timeline with associated Stringency Index (blue line) and survey time points (orange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8E51" id="Text Box 4" o:spid="_x0000_s1027" type="#_x0000_t202" style="position:absolute;left:0;text-align:left;margin-left:-279pt;margin-top:661.55pt;width:54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" stroked="f">
                <v:textbox style="mso-fit-shape-to-text:t" inset="0,0,0,0">
                  <w:txbxContent>
                    <w:p w14:paraId="1111D1CD" w14:textId="698F7867" w:rsidR="000D3480" w:rsidRPr="004821F8" w:rsidRDefault="000D3480" w:rsidP="000D3480">
                      <w:pPr>
                        <w:pStyle w:val="Caption"/>
                        <w:rPr>
                          <w:noProof/>
                        </w:rPr>
                      </w:pPr>
                      <w:r>
                        <w:t xml:space="preserve">Figure </w:t>
                      </w:r>
                      <w:fldSimple w:instr=" SEQ Figure \* ARABIC ">
                        <w:r w:rsidR="00C13A12">
                          <w:rPr>
                            <w:noProof/>
                          </w:rPr>
                          <w:t>2</w:t>
                        </w:r>
                      </w:fldSimple>
                      <w:r>
                        <w:t xml:space="preserve"> : Experimental timeline with associated Stringency Index (blue line) and survey time points (orange circles).</w:t>
                      </w:r>
                    </w:p>
                  </w:txbxContent>
                </v:textbox>
                <w10:wrap type="square"/>
              </v:shape>
            </w:pict>
          </mc:Fallback>
        </mc:AlternateContent>
      </w:r>
    </w:p>
    <w:p w14:paraId="1213B336" w14:textId="77777777"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Where parametric assumptions could not be verified, non-parametric </w:t>
      </w:r>
      <w:proofErr w:type="spellStart"/>
      <w:r w:rsidRPr="00322386">
        <w:rPr>
          <w:rFonts w:asciiTheme="majorBidi" w:hAnsiTheme="majorBidi" w:cstheme="majorBidi"/>
          <w:color w:val="000000" w:themeColor="text1"/>
        </w:rPr>
        <w:t>Kruskall</w:t>
      </w:r>
      <w:proofErr w:type="spellEnd"/>
      <w:r w:rsidRPr="00322386">
        <w:rPr>
          <w:rFonts w:asciiTheme="majorBidi" w:hAnsiTheme="majorBidi" w:cstheme="majorBidi"/>
          <w:color w:val="000000" w:themeColor="text1"/>
        </w:rPr>
        <w:t xml:space="preserve"> Wallis tests were used to analyze time effects, with a series Wilcoxon rank tests to further elucidate significant levels when detected. Mann-Whitney U tests were used to analyze SEX and ALONE effects comparing all data points at all time points, with a </w:t>
      </w:r>
      <w:proofErr w:type="spellStart"/>
      <w:r w:rsidRPr="00322386">
        <w:rPr>
          <w:rFonts w:asciiTheme="majorBidi" w:hAnsiTheme="majorBidi" w:cstheme="majorBidi"/>
          <w:color w:val="000000" w:themeColor="text1"/>
        </w:rPr>
        <w:t>Bonferonni</w:t>
      </w:r>
      <w:proofErr w:type="spellEnd"/>
      <w:r w:rsidRPr="00322386">
        <w:rPr>
          <w:rFonts w:asciiTheme="majorBidi" w:hAnsiTheme="majorBidi" w:cstheme="majorBidi"/>
          <w:color w:val="000000" w:themeColor="text1"/>
        </w:rPr>
        <w:t xml:space="preserve"> correction for multiple comparisons. </w:t>
      </w:r>
      <w:proofErr w:type="spellStart"/>
      <w:r w:rsidRPr="00322386">
        <w:rPr>
          <w:rFonts w:asciiTheme="majorBidi" w:hAnsiTheme="majorBidi" w:cstheme="majorBidi"/>
          <w:color w:val="000000" w:themeColor="text1"/>
        </w:rPr>
        <w:t>Wilcoxcon</w:t>
      </w:r>
      <w:proofErr w:type="spellEnd"/>
      <w:r w:rsidRPr="00322386">
        <w:rPr>
          <w:rFonts w:asciiTheme="majorBidi" w:hAnsiTheme="majorBidi" w:cstheme="majorBidi"/>
          <w:color w:val="000000" w:themeColor="text1"/>
        </w:rPr>
        <w:t xml:space="preserve"> rank sum tests were also performed when comparing non-parametric measures between SEX and ALONE groups, using the entire data set’s responses.</w:t>
      </w:r>
    </w:p>
    <w:p w14:paraId="18CEC74E" w14:textId="77777777" w:rsidR="006D4E60" w:rsidRPr="00322386" w:rsidRDefault="006D4E60">
      <w:pPr>
        <w:jc w:val="both"/>
        <w:rPr>
          <w:rFonts w:asciiTheme="majorBidi" w:hAnsiTheme="majorBidi" w:cstheme="majorBidi"/>
          <w:color w:val="000000" w:themeColor="text1"/>
        </w:rPr>
      </w:pPr>
    </w:p>
    <w:p w14:paraId="4FC0C703" w14:textId="10D695FB"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Subsequent comparisons of median differences of dependent variables at each time point were normalized to Stringency Index (SI) by first taking the product of the measure and the SI of the United States at that time.  Time point medians of this SI-adjusted product were tested via </w:t>
      </w:r>
      <w:r w:rsidRPr="00322386">
        <w:rPr>
          <w:rFonts w:asciiTheme="majorBidi" w:hAnsiTheme="majorBidi" w:cstheme="majorBidi"/>
          <w:color w:val="000000" w:themeColor="text1"/>
        </w:rPr>
        <w:t>K-W analysis as per above and, in some cases, yielded a different result</w:t>
      </w:r>
      <w:r w:rsidR="0009673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Only U.S. respondents were used for this comparison.</w:t>
      </w:r>
    </w:p>
    <w:p w14:paraId="319FA977" w14:textId="77777777" w:rsidR="006D4E60" w:rsidRPr="00322386" w:rsidRDefault="006D4E60">
      <w:pPr>
        <w:jc w:val="both"/>
        <w:rPr>
          <w:rFonts w:asciiTheme="majorBidi" w:hAnsiTheme="majorBidi" w:cstheme="majorBidi"/>
          <w:color w:val="000000" w:themeColor="text1"/>
        </w:rPr>
      </w:pPr>
    </w:p>
    <w:p w14:paraId="6C3C5727" w14:textId="73029313"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Correlations are reported using coefficients of determination.</w:t>
      </w:r>
    </w:p>
    <w:p w14:paraId="2D84F680" w14:textId="77777777" w:rsidR="006D4E60" w:rsidRPr="00322386" w:rsidRDefault="00063B85" w:rsidP="003A7987">
      <w:pPr>
        <w:pStyle w:val="Heading2"/>
        <w:rPr>
          <w:rFonts w:asciiTheme="majorBidi" w:hAnsiTheme="majorBidi" w:cstheme="majorBidi"/>
          <w:color w:val="000000" w:themeColor="text1"/>
        </w:rPr>
      </w:pPr>
      <w:bookmarkStart w:id="13" w:name="_7z7t1rbae4e3" w:colFirst="0" w:colLast="0"/>
      <w:bookmarkEnd w:id="13"/>
      <w:r w:rsidRPr="00322386">
        <w:rPr>
          <w:rFonts w:asciiTheme="majorBidi" w:hAnsiTheme="majorBidi" w:cstheme="majorBidi"/>
          <w:color w:val="000000" w:themeColor="text1"/>
        </w:rPr>
        <w:t>RESULTS</w:t>
      </w:r>
    </w:p>
    <w:p w14:paraId="60F14C30" w14:textId="6DDFEB5E"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Figure</w:t>
      </w:r>
      <w:r w:rsidR="00DD20B5" w:rsidRPr="00322386">
        <w:rPr>
          <w:rFonts w:asciiTheme="majorBidi" w:hAnsiTheme="majorBidi" w:cstheme="majorBidi"/>
          <w:color w:val="000000" w:themeColor="text1"/>
        </w:rPr>
        <w:t xml:space="preserve"> 2</w:t>
      </w:r>
      <w:r w:rsidRPr="00322386">
        <w:rPr>
          <w:rFonts w:asciiTheme="majorBidi" w:hAnsiTheme="majorBidi" w:cstheme="majorBidi"/>
          <w:color w:val="000000" w:themeColor="text1"/>
        </w:rPr>
        <w:t xml:space="preserve"> summarizes the Stringency Index used to adjust certain time comparisons in the following data. SI values during our survey ranged from 56.94-72.69 with a mean change of 4.28 (+/- 1.65) from one time point to the next following the first cluster of 3 surveys.</w:t>
      </w:r>
    </w:p>
    <w:p w14:paraId="2404B66A" w14:textId="7FC9A3FB" w:rsidR="006D4E60" w:rsidRPr="00322386" w:rsidRDefault="00063B85" w:rsidP="003A7987">
      <w:pPr>
        <w:pStyle w:val="Heading3"/>
        <w:ind w:left="720"/>
        <w:rPr>
          <w:rFonts w:asciiTheme="majorBidi" w:hAnsiTheme="majorBidi" w:cstheme="majorBidi"/>
          <w:color w:val="000000" w:themeColor="text1"/>
        </w:rPr>
      </w:pPr>
      <w:bookmarkStart w:id="14" w:name="_ay126lkzgicq" w:colFirst="0" w:colLast="0"/>
      <w:bookmarkEnd w:id="14"/>
      <w:r w:rsidRPr="00322386">
        <w:rPr>
          <w:rFonts w:asciiTheme="majorBidi" w:hAnsiTheme="majorBidi" w:cstheme="majorBidi"/>
          <w:color w:val="000000" w:themeColor="text1"/>
        </w:rPr>
        <w:t>Spaceflight Applicability</w:t>
      </w:r>
    </w:p>
    <w:p w14:paraId="63D6C657" w14:textId="1CAB6725"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Among the initial respondents, it is worth noting that the average age (41 +/- 15 y.) and education level (78% had at least a bachelor’s degree, 45% had at least a master’s degree) is comparable to an astronaut-like population</w:t>
      </w:r>
      <w:r w:rsidR="00DD20B5"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58% of the initial respondents were female and this ratio was generally preserved throughout the time course of the survey.</w:t>
      </w:r>
    </w:p>
    <w:p w14:paraId="4183DC89" w14:textId="77777777" w:rsidR="006D4E60" w:rsidRPr="00322386" w:rsidRDefault="006D4E60">
      <w:pPr>
        <w:jc w:val="both"/>
        <w:rPr>
          <w:rFonts w:asciiTheme="majorBidi" w:hAnsiTheme="majorBidi" w:cstheme="majorBidi"/>
          <w:i/>
          <w:color w:val="000000" w:themeColor="text1"/>
        </w:rPr>
      </w:pPr>
    </w:p>
    <w:p w14:paraId="7AB040F1" w14:textId="36C80CCF" w:rsidR="006D4E60" w:rsidRPr="00322386" w:rsidRDefault="00063B85" w:rsidP="003A7987">
      <w:pPr>
        <w:pStyle w:val="Heading3"/>
        <w:rPr>
          <w:rFonts w:asciiTheme="majorBidi" w:hAnsiTheme="majorBidi" w:cstheme="majorBidi"/>
          <w:color w:val="000000" w:themeColor="text1"/>
        </w:rPr>
      </w:pPr>
      <w:bookmarkStart w:id="15" w:name="_o0ch5v8bowcy" w:colFirst="0" w:colLast="0"/>
      <w:bookmarkEnd w:id="15"/>
      <w:r w:rsidRPr="00322386">
        <w:rPr>
          <w:rFonts w:asciiTheme="majorBidi" w:hAnsiTheme="majorBidi" w:cstheme="majorBidi"/>
          <w:color w:val="000000" w:themeColor="text1"/>
        </w:rPr>
        <w:lastRenderedPageBreak/>
        <w:t xml:space="preserve">·         </w:t>
      </w:r>
      <w:r w:rsidR="003A7987" w:rsidRPr="00322386">
        <w:rPr>
          <w:rFonts w:asciiTheme="majorBidi" w:hAnsiTheme="majorBidi" w:cstheme="majorBidi"/>
          <w:color w:val="000000" w:themeColor="text1"/>
        </w:rPr>
        <w:t>A</w:t>
      </w:r>
      <w:r w:rsidRPr="00322386">
        <w:rPr>
          <w:rFonts w:asciiTheme="majorBidi" w:hAnsiTheme="majorBidi" w:cstheme="majorBidi"/>
          <w:color w:val="000000" w:themeColor="text1"/>
        </w:rPr>
        <w:t xml:space="preserve"> Year </w:t>
      </w:r>
      <w:proofErr w:type="gramStart"/>
      <w:r w:rsidR="003A7987" w:rsidRPr="00322386">
        <w:rPr>
          <w:rFonts w:asciiTheme="majorBidi" w:hAnsiTheme="majorBidi" w:cstheme="majorBidi"/>
          <w:color w:val="000000" w:themeColor="text1"/>
        </w:rPr>
        <w:t>In</w:t>
      </w:r>
      <w:proofErr w:type="gramEnd"/>
      <w:r w:rsidRPr="00322386">
        <w:rPr>
          <w:rFonts w:asciiTheme="majorBidi" w:hAnsiTheme="majorBidi" w:cstheme="majorBidi"/>
          <w:color w:val="000000" w:themeColor="text1"/>
        </w:rPr>
        <w:t xml:space="preserve"> </w:t>
      </w:r>
      <w:r w:rsidR="003A7987" w:rsidRPr="00322386">
        <w:rPr>
          <w:rFonts w:asciiTheme="majorBidi" w:hAnsiTheme="majorBidi" w:cstheme="majorBidi"/>
          <w:color w:val="000000" w:themeColor="text1"/>
        </w:rPr>
        <w:t xml:space="preserve">Lockdown </w:t>
      </w:r>
      <w:r w:rsidRPr="00322386">
        <w:rPr>
          <w:rFonts w:asciiTheme="majorBidi" w:hAnsiTheme="majorBidi" w:cstheme="majorBidi"/>
          <w:color w:val="000000" w:themeColor="text1"/>
        </w:rPr>
        <w:t>Data</w:t>
      </w:r>
    </w:p>
    <w:p w14:paraId="56B86133" w14:textId="2B234901"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Table </w:t>
      </w:r>
      <w:r w:rsidR="00DD20B5" w:rsidRPr="00322386">
        <w:rPr>
          <w:rFonts w:asciiTheme="majorBidi" w:hAnsiTheme="majorBidi" w:cstheme="majorBidi"/>
          <w:color w:val="000000" w:themeColor="text1"/>
        </w:rPr>
        <w:t>1</w:t>
      </w:r>
      <w:r w:rsidRPr="00322386">
        <w:rPr>
          <w:rFonts w:asciiTheme="majorBidi" w:hAnsiTheme="majorBidi" w:cstheme="majorBidi"/>
          <w:color w:val="000000" w:themeColor="text1"/>
        </w:rPr>
        <w:t xml:space="preserve"> summarizes the analysis conducted on the comparisons of means (in the case of parametric analysis) or medians (for non-parametric analysis) across the time of the survey to determine any effects of non-SI-adjusted time on all respondents as a single group.</w:t>
      </w:r>
    </w:p>
    <w:p w14:paraId="7A75C0E8" w14:textId="77777777" w:rsidR="006D4E60" w:rsidRPr="00322386" w:rsidRDefault="006D4E60">
      <w:pPr>
        <w:rPr>
          <w:rFonts w:asciiTheme="majorBidi" w:hAnsiTheme="majorBidi" w:cstheme="majorBidi"/>
          <w:color w:val="000000" w:themeColor="text1"/>
        </w:rPr>
      </w:pPr>
    </w:p>
    <w:p w14:paraId="677818AB" w14:textId="718D7155" w:rsidR="00DD20B5" w:rsidRPr="00322386" w:rsidRDefault="00DD20B5" w:rsidP="00DD20B5">
      <w:pPr>
        <w:pStyle w:val="Caption"/>
        <w:keepNext/>
        <w:rPr>
          <w:rFonts w:asciiTheme="majorBidi" w:hAnsiTheme="majorBidi" w:cstheme="majorBidi"/>
          <w:color w:val="000000" w:themeColor="text1"/>
        </w:rPr>
      </w:pPr>
      <w:r w:rsidRPr="00322386">
        <w:rPr>
          <w:rFonts w:asciiTheme="majorBidi" w:hAnsiTheme="majorBidi" w:cstheme="majorBidi"/>
          <w:color w:val="000000" w:themeColor="text1"/>
        </w:rPr>
        <w:t xml:space="preserve">Table </w:t>
      </w:r>
      <w:r w:rsidR="00D35890" w:rsidRPr="00322386">
        <w:rPr>
          <w:rFonts w:asciiTheme="majorBidi" w:hAnsiTheme="majorBidi" w:cstheme="majorBidi"/>
          <w:color w:val="000000" w:themeColor="text1"/>
        </w:rPr>
        <w:fldChar w:fldCharType="begin"/>
      </w:r>
      <w:r w:rsidR="00D35890" w:rsidRPr="00322386">
        <w:rPr>
          <w:rFonts w:asciiTheme="majorBidi" w:hAnsiTheme="majorBidi" w:cstheme="majorBidi"/>
          <w:color w:val="000000" w:themeColor="text1"/>
        </w:rPr>
        <w:instrText xml:space="preserve"> SEQ Table \* ARABIC </w:instrText>
      </w:r>
      <w:r w:rsidR="00D35890" w:rsidRPr="00322386">
        <w:rPr>
          <w:rFonts w:asciiTheme="majorBidi" w:hAnsiTheme="majorBidi" w:cstheme="majorBidi"/>
          <w:color w:val="000000" w:themeColor="text1"/>
        </w:rPr>
        <w:fldChar w:fldCharType="separate"/>
      </w:r>
      <w:r w:rsidR="00005BB6" w:rsidRPr="00322386">
        <w:rPr>
          <w:rFonts w:asciiTheme="majorBidi" w:hAnsiTheme="majorBidi" w:cstheme="majorBidi"/>
          <w:noProof/>
          <w:color w:val="000000" w:themeColor="text1"/>
        </w:rPr>
        <w:t>1</w:t>
      </w:r>
      <w:r w:rsidR="00D35890" w:rsidRPr="00322386">
        <w:rPr>
          <w:rFonts w:asciiTheme="majorBidi" w:hAnsiTheme="majorBidi" w:cstheme="majorBidi"/>
          <w:noProof/>
          <w:color w:val="000000" w:themeColor="text1"/>
        </w:rPr>
        <w:fldChar w:fldCharType="end"/>
      </w:r>
      <w:r w:rsidRPr="00322386">
        <w:rPr>
          <w:rFonts w:asciiTheme="majorBidi" w:hAnsiTheme="majorBidi" w:cstheme="majorBidi"/>
          <w:color w:val="000000" w:themeColor="text1"/>
        </w:rPr>
        <w:t xml:space="preserve"> : Summary of variances of selected measures over time.</w:t>
      </w:r>
      <w:r w:rsidR="000F743D" w:rsidRPr="00322386">
        <w:rPr>
          <w:rFonts w:asciiTheme="majorBidi" w:hAnsiTheme="majorBidi" w:cstheme="majorBidi"/>
          <w:color w:val="000000" w:themeColor="text1"/>
        </w:rPr>
        <w:t xml:space="preserve"> </w:t>
      </w:r>
      <w:proofErr w:type="spellStart"/>
      <w:r w:rsidR="000F743D" w:rsidRPr="00322386">
        <w:rPr>
          <w:rFonts w:asciiTheme="majorBidi" w:hAnsiTheme="majorBidi" w:cstheme="majorBidi"/>
          <w:color w:val="000000" w:themeColor="text1"/>
        </w:rPr>
        <w:t>Signficant</w:t>
      </w:r>
      <w:proofErr w:type="spellEnd"/>
      <w:r w:rsidR="000F743D" w:rsidRPr="00322386">
        <w:rPr>
          <w:rFonts w:asciiTheme="majorBidi" w:hAnsiTheme="majorBidi" w:cstheme="majorBidi"/>
          <w:color w:val="000000" w:themeColor="text1"/>
        </w:rPr>
        <w:t xml:space="preserve"> results are elaborated in the text.</w:t>
      </w:r>
    </w:p>
    <w:tbl>
      <w:tblPr>
        <w:tblStyle w:val="a"/>
        <w:tblW w:w="4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325"/>
        <w:gridCol w:w="1215"/>
      </w:tblGrid>
      <w:tr w:rsidR="00322386" w:rsidRPr="00322386" w14:paraId="5766CA2E" w14:textId="77777777">
        <w:tc>
          <w:tcPr>
            <w:tcW w:w="1440" w:type="dxa"/>
            <w:shd w:val="clear" w:color="auto" w:fill="CCCCCC"/>
            <w:tcMar>
              <w:top w:w="100" w:type="dxa"/>
              <w:left w:w="100" w:type="dxa"/>
              <w:bottom w:w="100" w:type="dxa"/>
              <w:right w:w="100" w:type="dxa"/>
            </w:tcMar>
          </w:tcPr>
          <w:p w14:paraId="12768D41"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Measure</w:t>
            </w:r>
          </w:p>
        </w:tc>
        <w:tc>
          <w:tcPr>
            <w:tcW w:w="2325" w:type="dxa"/>
            <w:shd w:val="clear" w:color="auto" w:fill="CCCCCC"/>
            <w:tcMar>
              <w:top w:w="100" w:type="dxa"/>
              <w:left w:w="100" w:type="dxa"/>
              <w:bottom w:w="100" w:type="dxa"/>
              <w:right w:w="100" w:type="dxa"/>
            </w:tcMar>
          </w:tcPr>
          <w:p w14:paraId="6915AB96"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Test Used</w:t>
            </w:r>
          </w:p>
        </w:tc>
        <w:tc>
          <w:tcPr>
            <w:tcW w:w="1215" w:type="dxa"/>
            <w:shd w:val="clear" w:color="auto" w:fill="CCCCCC"/>
            <w:tcMar>
              <w:top w:w="100" w:type="dxa"/>
              <w:left w:w="100" w:type="dxa"/>
              <w:bottom w:w="100" w:type="dxa"/>
              <w:right w:w="100" w:type="dxa"/>
            </w:tcMar>
          </w:tcPr>
          <w:p w14:paraId="7F648370"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Result</w:t>
            </w:r>
          </w:p>
          <w:p w14:paraId="4E1359BF"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(p-value)</w:t>
            </w:r>
          </w:p>
        </w:tc>
      </w:tr>
      <w:tr w:rsidR="00322386" w:rsidRPr="00322386" w14:paraId="468E9420" w14:textId="77777777">
        <w:tc>
          <w:tcPr>
            <w:tcW w:w="1440" w:type="dxa"/>
            <w:shd w:val="clear" w:color="auto" w:fill="auto"/>
            <w:tcMar>
              <w:top w:w="100" w:type="dxa"/>
              <w:left w:w="100" w:type="dxa"/>
              <w:bottom w:w="100" w:type="dxa"/>
              <w:right w:w="100" w:type="dxa"/>
            </w:tcMar>
          </w:tcPr>
          <w:p w14:paraId="61203C68" w14:textId="70361342" w:rsidR="006D4E60" w:rsidRPr="00322386" w:rsidRDefault="00063B85">
            <w:pPr>
              <w:widowControl w:val="0"/>
              <w:spacing w:line="240" w:lineRule="auto"/>
              <w:rPr>
                <w:rFonts w:asciiTheme="majorBidi" w:hAnsiTheme="majorBidi" w:cstheme="majorBidi"/>
                <w:color w:val="000000" w:themeColor="text1"/>
                <w:sz w:val="18"/>
                <w:szCs w:val="18"/>
              </w:rPr>
            </w:pPr>
            <w:proofErr w:type="gramStart"/>
            <w:r w:rsidRPr="00322386">
              <w:rPr>
                <w:rFonts w:asciiTheme="majorBidi" w:hAnsiTheme="majorBidi" w:cstheme="majorBidi"/>
                <w:color w:val="000000" w:themeColor="text1"/>
                <w:sz w:val="18"/>
                <w:szCs w:val="18"/>
              </w:rPr>
              <w:t>Anxiety</w:t>
            </w:r>
            <w:r w:rsidR="00101938" w:rsidRPr="00322386">
              <w:rPr>
                <w:rFonts w:asciiTheme="majorBidi" w:hAnsiTheme="majorBidi" w:cstheme="majorBidi"/>
                <w:color w:val="000000" w:themeColor="text1"/>
                <w:sz w:val="18"/>
                <w:szCs w:val="18"/>
              </w:rPr>
              <w:t>;</w:t>
            </w:r>
            <w:proofErr w:type="gramEnd"/>
          </w:p>
          <w:p w14:paraId="1D671FBA" w14:textId="739AA6E8" w:rsidR="006414CB" w:rsidRPr="00322386" w:rsidRDefault="006414CB">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SI-Adjusted</w:t>
            </w:r>
          </w:p>
        </w:tc>
        <w:tc>
          <w:tcPr>
            <w:tcW w:w="2325" w:type="dxa"/>
            <w:shd w:val="clear" w:color="auto" w:fill="auto"/>
            <w:tcMar>
              <w:top w:w="100" w:type="dxa"/>
              <w:left w:w="100" w:type="dxa"/>
              <w:bottom w:w="100" w:type="dxa"/>
              <w:right w:w="100" w:type="dxa"/>
            </w:tcMar>
          </w:tcPr>
          <w:p w14:paraId="52A2935B"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p w14:paraId="1838F452" w14:textId="41FBF222" w:rsidR="006414CB" w:rsidRPr="00322386" w:rsidRDefault="006414CB">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7AB7E1AF"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0.524</w:t>
            </w:r>
          </w:p>
          <w:p w14:paraId="5C01A7C8" w14:textId="75C3C21F" w:rsidR="006414CB" w:rsidRPr="00322386" w:rsidRDefault="006414CB">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0.001</w:t>
            </w:r>
          </w:p>
        </w:tc>
      </w:tr>
      <w:tr w:rsidR="00322386" w:rsidRPr="00322386" w14:paraId="3844EDD2" w14:textId="77777777">
        <w:tc>
          <w:tcPr>
            <w:tcW w:w="1440" w:type="dxa"/>
            <w:shd w:val="clear" w:color="auto" w:fill="auto"/>
            <w:tcMar>
              <w:top w:w="100" w:type="dxa"/>
              <w:left w:w="100" w:type="dxa"/>
              <w:bottom w:w="100" w:type="dxa"/>
              <w:right w:w="100" w:type="dxa"/>
            </w:tcMar>
          </w:tcPr>
          <w:p w14:paraId="66D55BC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Tension</w:t>
            </w:r>
          </w:p>
        </w:tc>
        <w:tc>
          <w:tcPr>
            <w:tcW w:w="2325" w:type="dxa"/>
            <w:shd w:val="clear" w:color="auto" w:fill="auto"/>
            <w:tcMar>
              <w:top w:w="100" w:type="dxa"/>
              <w:left w:w="100" w:type="dxa"/>
              <w:bottom w:w="100" w:type="dxa"/>
              <w:right w:w="100" w:type="dxa"/>
            </w:tcMar>
          </w:tcPr>
          <w:p w14:paraId="222DC39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50B48451"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0.922</w:t>
            </w:r>
          </w:p>
        </w:tc>
      </w:tr>
      <w:tr w:rsidR="00322386" w:rsidRPr="00322386" w14:paraId="4748F064" w14:textId="77777777">
        <w:tc>
          <w:tcPr>
            <w:tcW w:w="1440" w:type="dxa"/>
            <w:shd w:val="clear" w:color="auto" w:fill="auto"/>
            <w:tcMar>
              <w:top w:w="100" w:type="dxa"/>
              <w:left w:w="100" w:type="dxa"/>
              <w:bottom w:w="100" w:type="dxa"/>
              <w:right w:w="100" w:type="dxa"/>
            </w:tcMar>
          </w:tcPr>
          <w:p w14:paraId="47645553"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Depression</w:t>
            </w:r>
          </w:p>
        </w:tc>
        <w:tc>
          <w:tcPr>
            <w:tcW w:w="2325" w:type="dxa"/>
            <w:shd w:val="clear" w:color="auto" w:fill="auto"/>
            <w:tcMar>
              <w:top w:w="100" w:type="dxa"/>
              <w:left w:w="100" w:type="dxa"/>
              <w:bottom w:w="100" w:type="dxa"/>
              <w:right w:w="100" w:type="dxa"/>
            </w:tcMar>
          </w:tcPr>
          <w:p w14:paraId="6F2A284B"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3F58A89A"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0.602</w:t>
            </w:r>
          </w:p>
        </w:tc>
      </w:tr>
      <w:tr w:rsidR="00322386" w:rsidRPr="00322386" w14:paraId="462C443A" w14:textId="77777777">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B7EA2" w14:textId="7B2C5E99" w:rsidR="006D4E60" w:rsidRPr="00322386" w:rsidRDefault="00063B85">
            <w:pPr>
              <w:widowControl w:val="0"/>
              <w:spacing w:line="288" w:lineRule="auto"/>
              <w:rPr>
                <w:rFonts w:asciiTheme="majorBidi" w:hAnsiTheme="majorBidi" w:cstheme="majorBidi"/>
                <w:color w:val="000000" w:themeColor="text1"/>
                <w:sz w:val="18"/>
                <w:szCs w:val="18"/>
              </w:rPr>
            </w:pPr>
            <w:proofErr w:type="gramStart"/>
            <w:r w:rsidRPr="00322386">
              <w:rPr>
                <w:rFonts w:asciiTheme="majorBidi" w:hAnsiTheme="majorBidi" w:cstheme="majorBidi"/>
                <w:color w:val="000000" w:themeColor="text1"/>
                <w:sz w:val="18"/>
                <w:szCs w:val="18"/>
              </w:rPr>
              <w:t>Loneliness</w:t>
            </w:r>
            <w:r w:rsidR="00101938" w:rsidRPr="00322386">
              <w:rPr>
                <w:rFonts w:asciiTheme="majorBidi" w:hAnsiTheme="majorBidi" w:cstheme="majorBidi"/>
                <w:color w:val="000000" w:themeColor="text1"/>
                <w:sz w:val="18"/>
                <w:szCs w:val="18"/>
              </w:rPr>
              <w:t>;</w:t>
            </w:r>
            <w:proofErr w:type="gramEnd"/>
          </w:p>
          <w:p w14:paraId="543AFB00" w14:textId="6FE81FE8" w:rsidR="00DD20B5" w:rsidRPr="00322386" w:rsidRDefault="00DD20B5">
            <w:pPr>
              <w:widowControl w:val="0"/>
              <w:spacing w:line="288"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SI-Adjusted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BAA4A" w14:textId="77777777" w:rsidR="006D4E60" w:rsidRPr="00322386" w:rsidRDefault="00063B85">
            <w:pPr>
              <w:widowControl w:val="0"/>
              <w:spacing w:line="288"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ANOVA</w:t>
            </w:r>
          </w:p>
          <w:p w14:paraId="75BC248F" w14:textId="02434F39" w:rsidR="00DD20B5" w:rsidRPr="00322386" w:rsidRDefault="00DD20B5">
            <w:pPr>
              <w:widowControl w:val="0"/>
              <w:spacing w:line="288"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ANOVA</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4D69D" w14:textId="77777777" w:rsidR="006D4E60" w:rsidRPr="00322386" w:rsidRDefault="00063B85">
            <w:pPr>
              <w:widowControl w:val="0"/>
              <w:spacing w:line="288"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p w14:paraId="4DD381ED" w14:textId="591E08F3" w:rsidR="00DD20B5" w:rsidRPr="00322386" w:rsidRDefault="00DD20B5">
            <w:pPr>
              <w:widowControl w:val="0"/>
              <w:spacing w:line="288"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tc>
      </w:tr>
      <w:tr w:rsidR="00322386" w:rsidRPr="00322386" w14:paraId="420F4E64" w14:textId="77777777">
        <w:tc>
          <w:tcPr>
            <w:tcW w:w="1440" w:type="dxa"/>
            <w:shd w:val="clear" w:color="auto" w:fill="auto"/>
            <w:tcMar>
              <w:top w:w="100" w:type="dxa"/>
              <w:left w:w="100" w:type="dxa"/>
              <w:bottom w:w="100" w:type="dxa"/>
              <w:right w:w="100" w:type="dxa"/>
            </w:tcMar>
          </w:tcPr>
          <w:p w14:paraId="2B424AD3"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Sleep Quality</w:t>
            </w:r>
          </w:p>
        </w:tc>
        <w:tc>
          <w:tcPr>
            <w:tcW w:w="2325" w:type="dxa"/>
            <w:shd w:val="clear" w:color="auto" w:fill="auto"/>
            <w:tcMar>
              <w:top w:w="100" w:type="dxa"/>
              <w:left w:w="100" w:type="dxa"/>
              <w:bottom w:w="100" w:type="dxa"/>
              <w:right w:w="100" w:type="dxa"/>
            </w:tcMar>
          </w:tcPr>
          <w:p w14:paraId="293D4DC1"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ANOVA</w:t>
            </w:r>
          </w:p>
        </w:tc>
        <w:tc>
          <w:tcPr>
            <w:tcW w:w="1215" w:type="dxa"/>
            <w:shd w:val="clear" w:color="auto" w:fill="auto"/>
            <w:tcMar>
              <w:top w:w="100" w:type="dxa"/>
              <w:left w:w="100" w:type="dxa"/>
              <w:bottom w:w="100" w:type="dxa"/>
              <w:right w:w="100" w:type="dxa"/>
            </w:tcMar>
          </w:tcPr>
          <w:p w14:paraId="2FDCBB6F"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tc>
      </w:tr>
      <w:tr w:rsidR="00322386" w:rsidRPr="00322386" w14:paraId="3C05A44B" w14:textId="77777777">
        <w:tc>
          <w:tcPr>
            <w:tcW w:w="1440" w:type="dxa"/>
            <w:shd w:val="clear" w:color="auto" w:fill="auto"/>
            <w:tcMar>
              <w:top w:w="100" w:type="dxa"/>
              <w:left w:w="100" w:type="dxa"/>
              <w:bottom w:w="100" w:type="dxa"/>
              <w:right w:w="100" w:type="dxa"/>
            </w:tcMar>
          </w:tcPr>
          <w:p w14:paraId="603F2D97"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Vigorous Exercise Days</w:t>
            </w:r>
          </w:p>
        </w:tc>
        <w:tc>
          <w:tcPr>
            <w:tcW w:w="2325" w:type="dxa"/>
            <w:shd w:val="clear" w:color="auto" w:fill="auto"/>
            <w:tcMar>
              <w:top w:w="100" w:type="dxa"/>
              <w:left w:w="100" w:type="dxa"/>
              <w:bottom w:w="100" w:type="dxa"/>
              <w:right w:w="100" w:type="dxa"/>
            </w:tcMar>
          </w:tcPr>
          <w:p w14:paraId="72C4DCD5"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0558D590"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0.9969</w:t>
            </w:r>
          </w:p>
        </w:tc>
      </w:tr>
      <w:tr w:rsidR="00322386" w:rsidRPr="00322386" w14:paraId="4869E779" w14:textId="77777777">
        <w:tc>
          <w:tcPr>
            <w:tcW w:w="1440" w:type="dxa"/>
            <w:shd w:val="clear" w:color="auto" w:fill="auto"/>
            <w:tcMar>
              <w:top w:w="100" w:type="dxa"/>
              <w:left w:w="100" w:type="dxa"/>
              <w:bottom w:w="100" w:type="dxa"/>
              <w:right w:w="100" w:type="dxa"/>
            </w:tcMar>
          </w:tcPr>
          <w:p w14:paraId="3F7CA6D1"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Vigorous Exercise</w:t>
            </w:r>
          </w:p>
        </w:tc>
        <w:tc>
          <w:tcPr>
            <w:tcW w:w="2325" w:type="dxa"/>
            <w:shd w:val="clear" w:color="auto" w:fill="auto"/>
            <w:tcMar>
              <w:top w:w="100" w:type="dxa"/>
              <w:left w:w="100" w:type="dxa"/>
              <w:bottom w:w="100" w:type="dxa"/>
              <w:right w:w="100" w:type="dxa"/>
            </w:tcMar>
          </w:tcPr>
          <w:p w14:paraId="2C18640A"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3EC28B61"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0.9898</w:t>
            </w:r>
          </w:p>
        </w:tc>
      </w:tr>
      <w:tr w:rsidR="00322386" w:rsidRPr="00322386" w14:paraId="62787F98" w14:textId="77777777">
        <w:tc>
          <w:tcPr>
            <w:tcW w:w="1440" w:type="dxa"/>
            <w:shd w:val="clear" w:color="auto" w:fill="auto"/>
            <w:tcMar>
              <w:top w:w="100" w:type="dxa"/>
              <w:left w:w="100" w:type="dxa"/>
              <w:bottom w:w="100" w:type="dxa"/>
              <w:right w:w="100" w:type="dxa"/>
            </w:tcMar>
          </w:tcPr>
          <w:p w14:paraId="21E1E1A1"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Moderate Exercise Days</w:t>
            </w:r>
          </w:p>
        </w:tc>
        <w:tc>
          <w:tcPr>
            <w:tcW w:w="2325" w:type="dxa"/>
            <w:shd w:val="clear" w:color="auto" w:fill="auto"/>
            <w:tcMar>
              <w:top w:w="100" w:type="dxa"/>
              <w:left w:w="100" w:type="dxa"/>
              <w:bottom w:w="100" w:type="dxa"/>
              <w:right w:w="100" w:type="dxa"/>
            </w:tcMar>
          </w:tcPr>
          <w:p w14:paraId="71999AB4"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2CD0D497"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0.9969</w:t>
            </w:r>
          </w:p>
        </w:tc>
      </w:tr>
      <w:tr w:rsidR="00322386" w:rsidRPr="00322386" w14:paraId="2E777473" w14:textId="77777777">
        <w:tc>
          <w:tcPr>
            <w:tcW w:w="1440" w:type="dxa"/>
            <w:shd w:val="clear" w:color="auto" w:fill="auto"/>
            <w:tcMar>
              <w:top w:w="100" w:type="dxa"/>
              <w:left w:w="100" w:type="dxa"/>
              <w:bottom w:w="100" w:type="dxa"/>
              <w:right w:w="100" w:type="dxa"/>
            </w:tcMar>
          </w:tcPr>
          <w:p w14:paraId="43C3C2C9"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Moderate Exercise</w:t>
            </w:r>
          </w:p>
        </w:tc>
        <w:tc>
          <w:tcPr>
            <w:tcW w:w="2325" w:type="dxa"/>
            <w:shd w:val="clear" w:color="auto" w:fill="auto"/>
            <w:tcMar>
              <w:top w:w="100" w:type="dxa"/>
              <w:left w:w="100" w:type="dxa"/>
              <w:bottom w:w="100" w:type="dxa"/>
              <w:right w:w="100" w:type="dxa"/>
            </w:tcMar>
          </w:tcPr>
          <w:p w14:paraId="48146752"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51CC8782"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0.9948</w:t>
            </w:r>
          </w:p>
        </w:tc>
      </w:tr>
      <w:tr w:rsidR="00322386" w:rsidRPr="00322386" w14:paraId="44F567F2" w14:textId="77777777">
        <w:tc>
          <w:tcPr>
            <w:tcW w:w="1440" w:type="dxa"/>
            <w:shd w:val="clear" w:color="auto" w:fill="auto"/>
            <w:tcMar>
              <w:top w:w="100" w:type="dxa"/>
              <w:left w:w="100" w:type="dxa"/>
              <w:bottom w:w="100" w:type="dxa"/>
              <w:right w:w="100" w:type="dxa"/>
            </w:tcMar>
          </w:tcPr>
          <w:p w14:paraId="37BB1AAC"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Walking Days</w:t>
            </w:r>
          </w:p>
        </w:tc>
        <w:tc>
          <w:tcPr>
            <w:tcW w:w="2325" w:type="dxa"/>
            <w:shd w:val="clear" w:color="auto" w:fill="auto"/>
            <w:tcMar>
              <w:top w:w="100" w:type="dxa"/>
              <w:left w:w="100" w:type="dxa"/>
              <w:bottom w:w="100" w:type="dxa"/>
              <w:right w:w="100" w:type="dxa"/>
            </w:tcMar>
          </w:tcPr>
          <w:p w14:paraId="1FFB097C"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7CA79B15"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1</w:t>
            </w:r>
          </w:p>
        </w:tc>
      </w:tr>
      <w:tr w:rsidR="00322386" w:rsidRPr="00322386" w14:paraId="3B160067" w14:textId="77777777">
        <w:tc>
          <w:tcPr>
            <w:tcW w:w="1440" w:type="dxa"/>
            <w:shd w:val="clear" w:color="auto" w:fill="auto"/>
            <w:tcMar>
              <w:top w:w="100" w:type="dxa"/>
              <w:left w:w="100" w:type="dxa"/>
              <w:bottom w:w="100" w:type="dxa"/>
              <w:right w:w="100" w:type="dxa"/>
            </w:tcMar>
          </w:tcPr>
          <w:p w14:paraId="15A1775F"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Walking</w:t>
            </w:r>
          </w:p>
        </w:tc>
        <w:tc>
          <w:tcPr>
            <w:tcW w:w="2325" w:type="dxa"/>
            <w:shd w:val="clear" w:color="auto" w:fill="auto"/>
            <w:tcMar>
              <w:top w:w="100" w:type="dxa"/>
              <w:left w:w="100" w:type="dxa"/>
              <w:bottom w:w="100" w:type="dxa"/>
              <w:right w:w="100" w:type="dxa"/>
            </w:tcMar>
          </w:tcPr>
          <w:p w14:paraId="6E6D43C9"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70CE72C6"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0.9898</w:t>
            </w:r>
          </w:p>
        </w:tc>
      </w:tr>
      <w:tr w:rsidR="00322386" w:rsidRPr="00322386" w14:paraId="469C65A6" w14:textId="77777777">
        <w:tc>
          <w:tcPr>
            <w:tcW w:w="1440" w:type="dxa"/>
            <w:shd w:val="clear" w:color="auto" w:fill="auto"/>
            <w:tcMar>
              <w:top w:w="100" w:type="dxa"/>
              <w:left w:w="100" w:type="dxa"/>
              <w:bottom w:w="100" w:type="dxa"/>
              <w:right w:w="100" w:type="dxa"/>
            </w:tcMar>
          </w:tcPr>
          <w:p w14:paraId="561A4D9A"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Sitting</w:t>
            </w:r>
          </w:p>
        </w:tc>
        <w:tc>
          <w:tcPr>
            <w:tcW w:w="2325" w:type="dxa"/>
            <w:shd w:val="clear" w:color="auto" w:fill="auto"/>
            <w:tcMar>
              <w:top w:w="100" w:type="dxa"/>
              <w:left w:w="100" w:type="dxa"/>
              <w:bottom w:w="100" w:type="dxa"/>
              <w:right w:w="100" w:type="dxa"/>
            </w:tcMar>
          </w:tcPr>
          <w:p w14:paraId="4A1FF326"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46BFC95A"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0.0360</w:t>
            </w:r>
          </w:p>
        </w:tc>
      </w:tr>
      <w:tr w:rsidR="00322386" w:rsidRPr="00322386" w14:paraId="3B40BB5C" w14:textId="77777777">
        <w:tc>
          <w:tcPr>
            <w:tcW w:w="1440" w:type="dxa"/>
            <w:shd w:val="clear" w:color="auto" w:fill="auto"/>
            <w:tcMar>
              <w:top w:w="100" w:type="dxa"/>
              <w:left w:w="100" w:type="dxa"/>
              <w:bottom w:w="100" w:type="dxa"/>
              <w:right w:w="100" w:type="dxa"/>
            </w:tcMar>
          </w:tcPr>
          <w:p w14:paraId="78F476FB"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Total Exercise</w:t>
            </w:r>
          </w:p>
        </w:tc>
        <w:tc>
          <w:tcPr>
            <w:tcW w:w="2325" w:type="dxa"/>
            <w:shd w:val="clear" w:color="auto" w:fill="auto"/>
            <w:tcMar>
              <w:top w:w="100" w:type="dxa"/>
              <w:left w:w="100" w:type="dxa"/>
              <w:bottom w:w="100" w:type="dxa"/>
              <w:right w:w="100" w:type="dxa"/>
            </w:tcMar>
          </w:tcPr>
          <w:p w14:paraId="558567AE"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79E758A5"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0.9898</w:t>
            </w:r>
          </w:p>
        </w:tc>
      </w:tr>
      <w:tr w:rsidR="00322386" w:rsidRPr="00322386" w14:paraId="0CD2BCB3" w14:textId="77777777">
        <w:tc>
          <w:tcPr>
            <w:tcW w:w="1440" w:type="dxa"/>
            <w:shd w:val="clear" w:color="auto" w:fill="auto"/>
            <w:tcMar>
              <w:top w:w="100" w:type="dxa"/>
              <w:left w:w="100" w:type="dxa"/>
              <w:bottom w:w="100" w:type="dxa"/>
              <w:right w:w="100" w:type="dxa"/>
            </w:tcMar>
          </w:tcPr>
          <w:p w14:paraId="3D60975B"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Tobacco Use</w:t>
            </w:r>
          </w:p>
        </w:tc>
        <w:tc>
          <w:tcPr>
            <w:tcW w:w="2325" w:type="dxa"/>
            <w:shd w:val="clear" w:color="auto" w:fill="auto"/>
            <w:tcMar>
              <w:top w:w="100" w:type="dxa"/>
              <w:left w:w="100" w:type="dxa"/>
              <w:bottom w:w="100" w:type="dxa"/>
              <w:right w:w="100" w:type="dxa"/>
            </w:tcMar>
          </w:tcPr>
          <w:p w14:paraId="3D9B5D38"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Insufficient data to run tests</w:t>
            </w:r>
          </w:p>
        </w:tc>
        <w:tc>
          <w:tcPr>
            <w:tcW w:w="1215" w:type="dxa"/>
            <w:shd w:val="clear" w:color="auto" w:fill="auto"/>
            <w:tcMar>
              <w:top w:w="100" w:type="dxa"/>
              <w:left w:w="100" w:type="dxa"/>
              <w:bottom w:w="100" w:type="dxa"/>
              <w:right w:w="100" w:type="dxa"/>
            </w:tcMar>
          </w:tcPr>
          <w:p w14:paraId="0C53FB0C"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N/A</w:t>
            </w:r>
          </w:p>
        </w:tc>
      </w:tr>
      <w:tr w:rsidR="00322386" w:rsidRPr="00322386" w14:paraId="7CA8C8AB" w14:textId="77777777">
        <w:tc>
          <w:tcPr>
            <w:tcW w:w="1440" w:type="dxa"/>
            <w:shd w:val="clear" w:color="auto" w:fill="auto"/>
            <w:tcMar>
              <w:top w:w="100" w:type="dxa"/>
              <w:left w:w="100" w:type="dxa"/>
              <w:bottom w:w="100" w:type="dxa"/>
              <w:right w:w="100" w:type="dxa"/>
            </w:tcMar>
          </w:tcPr>
          <w:p w14:paraId="0B9DE17E"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Beer Use</w:t>
            </w:r>
          </w:p>
        </w:tc>
        <w:tc>
          <w:tcPr>
            <w:tcW w:w="2325" w:type="dxa"/>
            <w:shd w:val="clear" w:color="auto" w:fill="auto"/>
            <w:tcMar>
              <w:top w:w="100" w:type="dxa"/>
              <w:left w:w="100" w:type="dxa"/>
              <w:bottom w:w="100" w:type="dxa"/>
              <w:right w:w="100" w:type="dxa"/>
            </w:tcMar>
          </w:tcPr>
          <w:p w14:paraId="42E056AC"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3369CB4B"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0.9999</w:t>
            </w:r>
          </w:p>
        </w:tc>
      </w:tr>
      <w:tr w:rsidR="00322386" w:rsidRPr="00322386" w14:paraId="7DE0A35E" w14:textId="77777777">
        <w:tc>
          <w:tcPr>
            <w:tcW w:w="1440" w:type="dxa"/>
            <w:shd w:val="clear" w:color="auto" w:fill="auto"/>
            <w:tcMar>
              <w:top w:w="100" w:type="dxa"/>
              <w:left w:w="100" w:type="dxa"/>
              <w:bottom w:w="100" w:type="dxa"/>
              <w:right w:w="100" w:type="dxa"/>
            </w:tcMar>
          </w:tcPr>
          <w:p w14:paraId="722752D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Wine Use</w:t>
            </w:r>
          </w:p>
        </w:tc>
        <w:tc>
          <w:tcPr>
            <w:tcW w:w="2325" w:type="dxa"/>
            <w:shd w:val="clear" w:color="auto" w:fill="auto"/>
            <w:tcMar>
              <w:top w:w="100" w:type="dxa"/>
              <w:left w:w="100" w:type="dxa"/>
              <w:bottom w:w="100" w:type="dxa"/>
              <w:right w:w="100" w:type="dxa"/>
            </w:tcMar>
          </w:tcPr>
          <w:p w14:paraId="69A0D7CB"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5A8365AE"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0.9999</w:t>
            </w:r>
          </w:p>
        </w:tc>
      </w:tr>
      <w:tr w:rsidR="00322386" w:rsidRPr="00322386" w14:paraId="094EB767" w14:textId="77777777">
        <w:tc>
          <w:tcPr>
            <w:tcW w:w="1440" w:type="dxa"/>
            <w:shd w:val="clear" w:color="auto" w:fill="auto"/>
            <w:tcMar>
              <w:top w:w="100" w:type="dxa"/>
              <w:left w:w="100" w:type="dxa"/>
              <w:bottom w:w="100" w:type="dxa"/>
              <w:right w:w="100" w:type="dxa"/>
            </w:tcMar>
          </w:tcPr>
          <w:p w14:paraId="2DE84137"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Liquor Use</w:t>
            </w:r>
          </w:p>
        </w:tc>
        <w:tc>
          <w:tcPr>
            <w:tcW w:w="2325" w:type="dxa"/>
            <w:shd w:val="clear" w:color="auto" w:fill="auto"/>
            <w:tcMar>
              <w:top w:w="100" w:type="dxa"/>
              <w:left w:w="100" w:type="dxa"/>
              <w:bottom w:w="100" w:type="dxa"/>
              <w:right w:w="100" w:type="dxa"/>
            </w:tcMar>
          </w:tcPr>
          <w:p w14:paraId="421A9C65"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11EE9820"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0.9999</w:t>
            </w:r>
          </w:p>
        </w:tc>
      </w:tr>
      <w:tr w:rsidR="00322386" w:rsidRPr="00322386" w14:paraId="60069E66" w14:textId="77777777">
        <w:tc>
          <w:tcPr>
            <w:tcW w:w="1440" w:type="dxa"/>
            <w:shd w:val="clear" w:color="auto" w:fill="auto"/>
            <w:tcMar>
              <w:top w:w="100" w:type="dxa"/>
              <w:left w:w="100" w:type="dxa"/>
              <w:bottom w:w="100" w:type="dxa"/>
              <w:right w:w="100" w:type="dxa"/>
            </w:tcMar>
          </w:tcPr>
          <w:p w14:paraId="2BDEB19A"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Tea Use</w:t>
            </w:r>
          </w:p>
        </w:tc>
        <w:tc>
          <w:tcPr>
            <w:tcW w:w="2325" w:type="dxa"/>
            <w:shd w:val="clear" w:color="auto" w:fill="auto"/>
            <w:tcMar>
              <w:top w:w="100" w:type="dxa"/>
              <w:left w:w="100" w:type="dxa"/>
              <w:bottom w:w="100" w:type="dxa"/>
              <w:right w:w="100" w:type="dxa"/>
            </w:tcMar>
          </w:tcPr>
          <w:p w14:paraId="195029DA"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33625FEC"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0.9951</w:t>
            </w:r>
          </w:p>
        </w:tc>
      </w:tr>
      <w:tr w:rsidR="00322386" w:rsidRPr="00322386" w14:paraId="628A52D6" w14:textId="77777777">
        <w:tc>
          <w:tcPr>
            <w:tcW w:w="1440" w:type="dxa"/>
            <w:shd w:val="clear" w:color="auto" w:fill="auto"/>
            <w:tcMar>
              <w:top w:w="100" w:type="dxa"/>
              <w:left w:w="100" w:type="dxa"/>
              <w:bottom w:w="100" w:type="dxa"/>
              <w:right w:w="100" w:type="dxa"/>
            </w:tcMar>
          </w:tcPr>
          <w:p w14:paraId="78F79BB3"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Coffee Use</w:t>
            </w:r>
          </w:p>
        </w:tc>
        <w:tc>
          <w:tcPr>
            <w:tcW w:w="2325" w:type="dxa"/>
            <w:shd w:val="clear" w:color="auto" w:fill="auto"/>
            <w:tcMar>
              <w:top w:w="100" w:type="dxa"/>
              <w:left w:w="100" w:type="dxa"/>
              <w:bottom w:w="100" w:type="dxa"/>
              <w:right w:w="100" w:type="dxa"/>
            </w:tcMar>
          </w:tcPr>
          <w:p w14:paraId="4E1D0A67"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Kruskal-Wallis </w:t>
            </w:r>
          </w:p>
        </w:tc>
        <w:tc>
          <w:tcPr>
            <w:tcW w:w="1215" w:type="dxa"/>
            <w:shd w:val="clear" w:color="auto" w:fill="auto"/>
            <w:tcMar>
              <w:top w:w="100" w:type="dxa"/>
              <w:left w:w="100" w:type="dxa"/>
              <w:bottom w:w="100" w:type="dxa"/>
              <w:right w:w="100" w:type="dxa"/>
            </w:tcMar>
          </w:tcPr>
          <w:p w14:paraId="4B24EC4E"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0.9915</w:t>
            </w:r>
          </w:p>
        </w:tc>
      </w:tr>
      <w:tr w:rsidR="00322386" w:rsidRPr="00322386" w14:paraId="29C7A18A" w14:textId="77777777">
        <w:tc>
          <w:tcPr>
            <w:tcW w:w="1440" w:type="dxa"/>
            <w:shd w:val="clear" w:color="auto" w:fill="auto"/>
            <w:tcMar>
              <w:top w:w="100" w:type="dxa"/>
              <w:left w:w="100" w:type="dxa"/>
              <w:bottom w:w="100" w:type="dxa"/>
              <w:right w:w="100" w:type="dxa"/>
            </w:tcMar>
          </w:tcPr>
          <w:p w14:paraId="6F98C829"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Other Stimulant Beverage Use</w:t>
            </w:r>
          </w:p>
        </w:tc>
        <w:tc>
          <w:tcPr>
            <w:tcW w:w="2325" w:type="dxa"/>
            <w:shd w:val="clear" w:color="auto" w:fill="auto"/>
            <w:tcMar>
              <w:top w:w="100" w:type="dxa"/>
              <w:left w:w="100" w:type="dxa"/>
              <w:bottom w:w="100" w:type="dxa"/>
              <w:right w:w="100" w:type="dxa"/>
            </w:tcMar>
          </w:tcPr>
          <w:p w14:paraId="5343C6BA"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6A2BB4E5"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0.9841</w:t>
            </w:r>
          </w:p>
        </w:tc>
      </w:tr>
      <w:tr w:rsidR="00322386" w:rsidRPr="00322386" w14:paraId="10FC1860" w14:textId="77777777">
        <w:tc>
          <w:tcPr>
            <w:tcW w:w="1440" w:type="dxa"/>
            <w:shd w:val="clear" w:color="auto" w:fill="auto"/>
            <w:tcMar>
              <w:top w:w="100" w:type="dxa"/>
              <w:left w:w="100" w:type="dxa"/>
              <w:bottom w:w="100" w:type="dxa"/>
              <w:right w:w="100" w:type="dxa"/>
            </w:tcMar>
          </w:tcPr>
          <w:p w14:paraId="6A8CF7A2"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Crisis Length Expectancy</w:t>
            </w:r>
          </w:p>
        </w:tc>
        <w:tc>
          <w:tcPr>
            <w:tcW w:w="2325" w:type="dxa"/>
            <w:shd w:val="clear" w:color="auto" w:fill="auto"/>
            <w:tcMar>
              <w:top w:w="100" w:type="dxa"/>
              <w:left w:w="100" w:type="dxa"/>
              <w:bottom w:w="100" w:type="dxa"/>
              <w:right w:w="100" w:type="dxa"/>
            </w:tcMar>
          </w:tcPr>
          <w:p w14:paraId="3D04ED26"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010AA8D8"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0.5887</w:t>
            </w:r>
          </w:p>
        </w:tc>
      </w:tr>
      <w:tr w:rsidR="00322386" w:rsidRPr="00322386" w14:paraId="67DCAEC5" w14:textId="77777777">
        <w:tc>
          <w:tcPr>
            <w:tcW w:w="1440" w:type="dxa"/>
            <w:shd w:val="clear" w:color="auto" w:fill="auto"/>
            <w:tcMar>
              <w:top w:w="100" w:type="dxa"/>
              <w:left w:w="100" w:type="dxa"/>
              <w:bottom w:w="100" w:type="dxa"/>
              <w:right w:w="100" w:type="dxa"/>
            </w:tcMar>
          </w:tcPr>
          <w:p w14:paraId="323FCD4E"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Trust In Authorities</w:t>
            </w:r>
          </w:p>
        </w:tc>
        <w:tc>
          <w:tcPr>
            <w:tcW w:w="2325" w:type="dxa"/>
            <w:shd w:val="clear" w:color="auto" w:fill="auto"/>
            <w:tcMar>
              <w:top w:w="100" w:type="dxa"/>
              <w:left w:w="100" w:type="dxa"/>
              <w:bottom w:w="100" w:type="dxa"/>
              <w:right w:w="100" w:type="dxa"/>
            </w:tcMar>
          </w:tcPr>
          <w:p w14:paraId="54B3F1AE"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ANOVA</w:t>
            </w:r>
          </w:p>
        </w:tc>
        <w:tc>
          <w:tcPr>
            <w:tcW w:w="1215" w:type="dxa"/>
            <w:shd w:val="clear" w:color="auto" w:fill="auto"/>
            <w:tcMar>
              <w:top w:w="100" w:type="dxa"/>
              <w:left w:w="100" w:type="dxa"/>
              <w:bottom w:w="100" w:type="dxa"/>
              <w:right w:w="100" w:type="dxa"/>
            </w:tcMar>
          </w:tcPr>
          <w:p w14:paraId="164B7538"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0.1640</w:t>
            </w:r>
          </w:p>
        </w:tc>
      </w:tr>
      <w:tr w:rsidR="00322386" w:rsidRPr="00322386" w14:paraId="76400F42" w14:textId="77777777">
        <w:tc>
          <w:tcPr>
            <w:tcW w:w="1440" w:type="dxa"/>
            <w:shd w:val="clear" w:color="auto" w:fill="auto"/>
            <w:tcMar>
              <w:top w:w="100" w:type="dxa"/>
              <w:left w:w="100" w:type="dxa"/>
              <w:bottom w:w="100" w:type="dxa"/>
              <w:right w:w="100" w:type="dxa"/>
            </w:tcMar>
          </w:tcPr>
          <w:p w14:paraId="1829BC12"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Compliance with Lockdown</w:t>
            </w:r>
          </w:p>
        </w:tc>
        <w:tc>
          <w:tcPr>
            <w:tcW w:w="2325" w:type="dxa"/>
            <w:shd w:val="clear" w:color="auto" w:fill="auto"/>
            <w:tcMar>
              <w:top w:w="100" w:type="dxa"/>
              <w:left w:w="100" w:type="dxa"/>
              <w:bottom w:w="100" w:type="dxa"/>
              <w:right w:w="100" w:type="dxa"/>
            </w:tcMar>
          </w:tcPr>
          <w:p w14:paraId="1420C5B9"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484E131D"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0.9774</w:t>
            </w:r>
          </w:p>
        </w:tc>
      </w:tr>
      <w:tr w:rsidR="006D4E60" w:rsidRPr="00322386" w14:paraId="40537D26" w14:textId="77777777">
        <w:tc>
          <w:tcPr>
            <w:tcW w:w="1440" w:type="dxa"/>
            <w:shd w:val="clear" w:color="auto" w:fill="auto"/>
            <w:tcMar>
              <w:top w:w="100" w:type="dxa"/>
              <w:left w:w="100" w:type="dxa"/>
              <w:bottom w:w="100" w:type="dxa"/>
              <w:right w:w="100" w:type="dxa"/>
            </w:tcMar>
          </w:tcPr>
          <w:p w14:paraId="61218441" w14:textId="1EDF64D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Seriousness of COVID-19 </w:t>
            </w:r>
            <w:proofErr w:type="gramStart"/>
            <w:r w:rsidRPr="00322386">
              <w:rPr>
                <w:rFonts w:asciiTheme="majorBidi" w:hAnsiTheme="majorBidi" w:cstheme="majorBidi"/>
                <w:color w:val="000000" w:themeColor="text1"/>
                <w:sz w:val="18"/>
                <w:szCs w:val="18"/>
              </w:rPr>
              <w:t xml:space="preserve">Threat </w:t>
            </w:r>
            <w:r w:rsidR="00101938" w:rsidRPr="00322386">
              <w:rPr>
                <w:rFonts w:asciiTheme="majorBidi" w:hAnsiTheme="majorBidi" w:cstheme="majorBidi"/>
                <w:color w:val="000000" w:themeColor="text1"/>
                <w:sz w:val="18"/>
                <w:szCs w:val="18"/>
              </w:rPr>
              <w:t>;</w:t>
            </w:r>
            <w:proofErr w:type="gramEnd"/>
          </w:p>
          <w:p w14:paraId="12963B02" w14:textId="6D536B7A" w:rsidR="00101938" w:rsidRPr="00322386" w:rsidRDefault="00101938">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SI-Adjusted</w:t>
            </w:r>
          </w:p>
        </w:tc>
        <w:tc>
          <w:tcPr>
            <w:tcW w:w="2325" w:type="dxa"/>
            <w:shd w:val="clear" w:color="auto" w:fill="auto"/>
            <w:tcMar>
              <w:top w:w="100" w:type="dxa"/>
              <w:left w:w="100" w:type="dxa"/>
              <w:bottom w:w="100" w:type="dxa"/>
              <w:right w:w="100" w:type="dxa"/>
            </w:tcMar>
          </w:tcPr>
          <w:p w14:paraId="586796FC"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p w14:paraId="4E4C8636" w14:textId="77777777" w:rsidR="00101938" w:rsidRPr="00322386" w:rsidRDefault="00101938">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p>
          <w:p w14:paraId="027FE64A" w14:textId="77777777" w:rsidR="00101938" w:rsidRPr="00322386" w:rsidRDefault="00101938">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p>
          <w:p w14:paraId="28628216" w14:textId="79F53DB4" w:rsidR="00101938" w:rsidRPr="00322386" w:rsidRDefault="00101938">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Kruskal-Wallis</w:t>
            </w:r>
          </w:p>
        </w:tc>
        <w:tc>
          <w:tcPr>
            <w:tcW w:w="1215" w:type="dxa"/>
            <w:shd w:val="clear" w:color="auto" w:fill="auto"/>
            <w:tcMar>
              <w:top w:w="100" w:type="dxa"/>
              <w:left w:w="100" w:type="dxa"/>
              <w:bottom w:w="100" w:type="dxa"/>
              <w:right w:w="100" w:type="dxa"/>
            </w:tcMar>
          </w:tcPr>
          <w:p w14:paraId="394EFD50" w14:textId="77777777" w:rsidR="006D4E60" w:rsidRPr="00322386" w:rsidRDefault="00063B85">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0.8507</w:t>
            </w:r>
          </w:p>
          <w:p w14:paraId="346B023D" w14:textId="77777777" w:rsidR="00101938" w:rsidRPr="00322386" w:rsidRDefault="00101938">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p>
          <w:p w14:paraId="5C288A93" w14:textId="77777777" w:rsidR="00101938" w:rsidRPr="00322386" w:rsidRDefault="00101938">
            <w:pPr>
              <w:widowControl w:val="0"/>
              <w:pBdr>
                <w:top w:val="nil"/>
                <w:left w:val="nil"/>
                <w:bottom w:val="nil"/>
                <w:right w:val="nil"/>
                <w:between w:val="nil"/>
              </w:pBdr>
              <w:spacing w:line="240" w:lineRule="auto"/>
              <w:rPr>
                <w:rFonts w:asciiTheme="majorBidi" w:hAnsiTheme="majorBidi" w:cstheme="majorBidi"/>
                <w:color w:val="000000" w:themeColor="text1"/>
                <w:sz w:val="18"/>
                <w:szCs w:val="18"/>
              </w:rPr>
            </w:pPr>
          </w:p>
          <w:p w14:paraId="66254EF8" w14:textId="75217055" w:rsidR="00101938" w:rsidRPr="00322386" w:rsidRDefault="00101938">
            <w:pPr>
              <w:widowControl w:val="0"/>
              <w:pBdr>
                <w:top w:val="nil"/>
                <w:left w:val="nil"/>
                <w:bottom w:val="nil"/>
                <w:right w:val="nil"/>
                <w:between w:val="nil"/>
              </w:pBdr>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&lt;0.001</w:t>
            </w:r>
          </w:p>
        </w:tc>
      </w:tr>
    </w:tbl>
    <w:p w14:paraId="5DF4FAB6" w14:textId="77777777" w:rsidR="006D4E60" w:rsidRPr="00322386" w:rsidRDefault="006D4E60">
      <w:pPr>
        <w:rPr>
          <w:rFonts w:asciiTheme="majorBidi" w:hAnsiTheme="majorBidi" w:cstheme="majorBidi"/>
          <w:color w:val="000000" w:themeColor="text1"/>
        </w:rPr>
      </w:pPr>
    </w:p>
    <w:p w14:paraId="763B4B3E" w14:textId="37AA26FE" w:rsidR="006D4E60" w:rsidRPr="00322386" w:rsidRDefault="00063B85" w:rsidP="00DD20B5">
      <w:pPr>
        <w:ind w:firstLine="720"/>
        <w:jc w:val="both"/>
        <w:rPr>
          <w:rFonts w:asciiTheme="majorBidi" w:hAnsiTheme="majorBidi" w:cstheme="majorBidi"/>
          <w:i/>
          <w:color w:val="000000" w:themeColor="text1"/>
        </w:rPr>
      </w:pPr>
      <w:r w:rsidRPr="00322386">
        <w:rPr>
          <w:rFonts w:asciiTheme="majorBidi" w:hAnsiTheme="majorBidi" w:cstheme="majorBidi"/>
          <w:i/>
          <w:color w:val="000000" w:themeColor="text1"/>
        </w:rPr>
        <w:t xml:space="preserve">Mood States &amp; State Anxiety </w:t>
      </w:r>
    </w:p>
    <w:p w14:paraId="5BC2914B" w14:textId="2420AD18"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Analyzing the POMS categories for each of the mood states, </w:t>
      </w:r>
      <w:proofErr w:type="gramStart"/>
      <w:r w:rsidRPr="00322386">
        <w:rPr>
          <w:rFonts w:asciiTheme="majorBidi" w:hAnsiTheme="majorBidi" w:cstheme="majorBidi"/>
          <w:color w:val="000000" w:themeColor="text1"/>
        </w:rPr>
        <w:t>the majority of</w:t>
      </w:r>
      <w:proofErr w:type="gramEnd"/>
      <w:r w:rsidRPr="00322386">
        <w:rPr>
          <w:rFonts w:asciiTheme="majorBidi" w:hAnsiTheme="majorBidi" w:cstheme="majorBidi"/>
          <w:color w:val="000000" w:themeColor="text1"/>
        </w:rPr>
        <w:t xml:space="preserve"> the POMS did not change over time. Depression, Anger, Tension, Vigor and Fatigue did not see any overall change over </w:t>
      </w:r>
      <w:r w:rsidR="00101938" w:rsidRPr="00322386">
        <w:rPr>
          <w:rFonts w:asciiTheme="majorBidi" w:hAnsiTheme="majorBidi" w:cstheme="majorBidi"/>
          <w:color w:val="000000" w:themeColor="text1"/>
        </w:rPr>
        <w:t>time</w:t>
      </w:r>
      <w:r w:rsidRPr="00322386">
        <w:rPr>
          <w:rFonts w:asciiTheme="majorBidi" w:hAnsiTheme="majorBidi" w:cstheme="majorBidi"/>
          <w:color w:val="000000" w:themeColor="text1"/>
        </w:rPr>
        <w:t xml:space="preserve"> on an individual level. Running a Kruskal-Wallis test leads to none of the POMS having a significant change over time. However, the State Anxiety did see a decrease over week 0 to week 48 the final week of the survey. </w:t>
      </w:r>
      <w:r w:rsidR="00101938" w:rsidRPr="00322386">
        <w:rPr>
          <w:rFonts w:asciiTheme="majorBidi" w:hAnsiTheme="majorBidi" w:cstheme="majorBidi"/>
          <w:color w:val="000000" w:themeColor="text1"/>
        </w:rPr>
        <w:t>SI-adjusted Anxiety further showed decreases at week 42 over week 0.</w:t>
      </w:r>
    </w:p>
    <w:p w14:paraId="524CC92E" w14:textId="56C4EDB5" w:rsidR="006D4E60" w:rsidRPr="00322386" w:rsidRDefault="00DD20B5">
      <w:pPr>
        <w:jc w:val="both"/>
        <w:rPr>
          <w:rFonts w:asciiTheme="majorBidi" w:hAnsiTheme="majorBidi" w:cstheme="majorBidi"/>
          <w:color w:val="000000" w:themeColor="text1"/>
        </w:rPr>
      </w:pPr>
      <w:r w:rsidRPr="00322386">
        <w:rPr>
          <w:rFonts w:asciiTheme="majorBidi" w:hAnsiTheme="majorBidi" w:cstheme="majorBidi"/>
          <w:color w:val="000000" w:themeColor="text1"/>
        </w:rPr>
        <w:tab/>
      </w:r>
    </w:p>
    <w:p w14:paraId="68351073" w14:textId="7CBCDEB3" w:rsidR="00DD20B5" w:rsidRPr="00322386" w:rsidRDefault="006414CB">
      <w:pPr>
        <w:jc w:val="both"/>
        <w:rPr>
          <w:rFonts w:asciiTheme="majorBidi" w:hAnsiTheme="majorBidi" w:cstheme="majorBidi"/>
          <w:i/>
          <w:iCs/>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iCs/>
          <w:color w:val="000000" w:themeColor="text1"/>
        </w:rPr>
        <w:t>Loneliness</w:t>
      </w:r>
    </w:p>
    <w:p w14:paraId="74B86273" w14:textId="0DEE829C" w:rsidR="006414CB" w:rsidRPr="00322386" w:rsidRDefault="006414CB">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Loneliness tended to decrease over time, with significantly lower states at weeks 48 when compared to week 1, but the SI-adjusted comparison revealed additional decreases at week 18 </w:t>
      </w:r>
      <w:r w:rsidR="00101938" w:rsidRPr="00322386">
        <w:rPr>
          <w:rFonts w:asciiTheme="majorBidi" w:hAnsiTheme="majorBidi" w:cstheme="majorBidi"/>
          <w:color w:val="000000" w:themeColor="text1"/>
        </w:rPr>
        <w:t xml:space="preserve">and 42 </w:t>
      </w:r>
      <w:r w:rsidRPr="00322386">
        <w:rPr>
          <w:rFonts w:asciiTheme="majorBidi" w:hAnsiTheme="majorBidi" w:cstheme="majorBidi"/>
          <w:color w:val="000000" w:themeColor="text1"/>
        </w:rPr>
        <w:t>when compared to weeks 0 and 1.</w:t>
      </w:r>
    </w:p>
    <w:p w14:paraId="58357D09" w14:textId="77777777" w:rsidR="006414CB" w:rsidRPr="00322386" w:rsidRDefault="006414CB">
      <w:pPr>
        <w:jc w:val="both"/>
        <w:rPr>
          <w:rFonts w:asciiTheme="majorBidi" w:hAnsiTheme="majorBidi" w:cstheme="majorBidi"/>
          <w:color w:val="000000" w:themeColor="text1"/>
        </w:rPr>
      </w:pPr>
    </w:p>
    <w:p w14:paraId="66CEC8DE" w14:textId="77777777" w:rsidR="006D4E60" w:rsidRPr="00322386" w:rsidRDefault="00063B85">
      <w:pPr>
        <w:jc w:val="both"/>
        <w:rPr>
          <w:rFonts w:asciiTheme="majorBidi" w:hAnsiTheme="majorBidi" w:cstheme="majorBidi"/>
          <w:i/>
          <w:color w:val="000000" w:themeColor="text1"/>
        </w:rPr>
      </w:pPr>
      <w:r w:rsidRPr="00322386">
        <w:rPr>
          <w:rFonts w:asciiTheme="majorBidi" w:hAnsiTheme="majorBidi" w:cstheme="majorBidi"/>
          <w:i/>
          <w:color w:val="000000" w:themeColor="text1"/>
        </w:rPr>
        <w:tab/>
        <w:t>Physical Activity</w:t>
      </w:r>
    </w:p>
    <w:p w14:paraId="25FCE0B7" w14:textId="0DD50BA4"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Other than time spent sitting, no physical exercise category changed over time</w:t>
      </w:r>
      <w:r w:rsidR="006414C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Time spent sitting showed a slight decrease over time</w:t>
      </w:r>
      <w:r w:rsidR="006414C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But </w:t>
      </w:r>
      <w:r w:rsidR="00101938" w:rsidRPr="00322386">
        <w:rPr>
          <w:rFonts w:asciiTheme="majorBidi" w:hAnsiTheme="majorBidi" w:cstheme="majorBidi"/>
          <w:color w:val="000000" w:themeColor="text1"/>
        </w:rPr>
        <w:t>otherwise,</w:t>
      </w:r>
      <w:r w:rsidRPr="00322386">
        <w:rPr>
          <w:rFonts w:asciiTheme="majorBidi" w:hAnsiTheme="majorBidi" w:cstheme="majorBidi"/>
          <w:color w:val="000000" w:themeColor="text1"/>
        </w:rPr>
        <w:t xml:space="preserve"> no other statistically significant results were found</w:t>
      </w:r>
      <w:r w:rsidR="00101938"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All these tests were run using a Kruskal-Wallis after checking to see if the data was parametric</w:t>
      </w:r>
      <w:r w:rsidR="006414C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Time spent sitting had a null hypothesis of, “no change over time”, however a p-value of 0.0360, leads us to reject the null hypothesis, and claim that there is a difference in time spent sitting across time</w:t>
      </w:r>
      <w:r w:rsidR="00101938"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All other p-values were larger than .98.</w:t>
      </w:r>
    </w:p>
    <w:p w14:paraId="71458DD1" w14:textId="77777777"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ab/>
      </w:r>
    </w:p>
    <w:p w14:paraId="145E73C1" w14:textId="77777777" w:rsidR="006D4E60" w:rsidRPr="00322386" w:rsidRDefault="00063B85">
      <w:pPr>
        <w:jc w:val="both"/>
        <w:rPr>
          <w:rFonts w:asciiTheme="majorBidi" w:hAnsiTheme="majorBidi" w:cstheme="majorBidi"/>
          <w: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Stimulant Use</w:t>
      </w:r>
    </w:p>
    <w:p w14:paraId="068B6B17" w14:textId="76BA2488"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None of the stimulant use showed any change over time</w:t>
      </w:r>
      <w:r w:rsidR="006414C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Tobacco was not tested as a stimulant due to insufficient data- nearly all responses over the survey were “none”</w:t>
      </w:r>
      <w:r w:rsidR="006414C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All tests were run using a Kruskal-Wallis test after </w:t>
      </w:r>
      <w:r w:rsidRPr="00322386">
        <w:rPr>
          <w:rFonts w:asciiTheme="majorBidi" w:hAnsiTheme="majorBidi" w:cstheme="majorBidi"/>
          <w:color w:val="000000" w:themeColor="text1"/>
        </w:rPr>
        <w:lastRenderedPageBreak/>
        <w:t>checking the data for parametricity</w:t>
      </w:r>
      <w:r w:rsidR="006414C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All p-values were larger than 0.98.</w:t>
      </w:r>
    </w:p>
    <w:p w14:paraId="2D97F8C5" w14:textId="34BB563C" w:rsidR="006D4E60" w:rsidRPr="00322386" w:rsidRDefault="006D4E60">
      <w:pPr>
        <w:jc w:val="both"/>
        <w:rPr>
          <w:rFonts w:asciiTheme="majorBidi" w:hAnsiTheme="majorBidi" w:cstheme="majorBidi"/>
          <w:color w:val="000000" w:themeColor="text1"/>
        </w:rPr>
      </w:pPr>
    </w:p>
    <w:p w14:paraId="11E81963" w14:textId="072D4601" w:rsidR="000F743D" w:rsidRPr="00322386" w:rsidRDefault="000F743D">
      <w:pPr>
        <w:jc w:val="both"/>
        <w:rPr>
          <w:rFonts w:asciiTheme="majorBidi" w:hAnsiTheme="majorBidi" w:cstheme="majorBidi"/>
          <w:i/>
          <w:iCs/>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iCs/>
          <w:color w:val="000000" w:themeColor="text1"/>
        </w:rPr>
        <w:t>Covid-19</w:t>
      </w:r>
    </w:p>
    <w:p w14:paraId="6EE33EC5" w14:textId="3317E8D5" w:rsidR="000F743D" w:rsidRPr="00322386" w:rsidRDefault="000F743D">
      <w:pPr>
        <w:jc w:val="both"/>
        <w:rPr>
          <w:rFonts w:asciiTheme="majorBidi" w:hAnsiTheme="majorBidi" w:cstheme="majorBidi"/>
          <w:color w:val="000000" w:themeColor="text1"/>
        </w:rPr>
      </w:pPr>
      <w:r w:rsidRPr="00322386">
        <w:rPr>
          <w:rFonts w:asciiTheme="majorBidi" w:hAnsiTheme="majorBidi" w:cstheme="majorBidi"/>
          <w:color w:val="000000" w:themeColor="text1"/>
        </w:rPr>
        <w:t>SI-adjusted comparison of the COVID-19 threat assessments showed diminished values at weeks 12, 18, and 48 when compared to week 0. Week 48 was also lower than weeks 1 and 30.</w:t>
      </w:r>
    </w:p>
    <w:p w14:paraId="3A2F65DF" w14:textId="77777777" w:rsidR="006D4E60" w:rsidRPr="00322386" w:rsidRDefault="00063B85" w:rsidP="003A7987">
      <w:pPr>
        <w:pStyle w:val="Heading3"/>
        <w:ind w:left="720"/>
        <w:rPr>
          <w:rFonts w:asciiTheme="majorBidi" w:hAnsiTheme="majorBidi" w:cstheme="majorBidi"/>
          <w:color w:val="000000" w:themeColor="text1"/>
        </w:rPr>
      </w:pPr>
      <w:bookmarkStart w:id="16" w:name="_br8af95w5w6s" w:colFirst="0" w:colLast="0"/>
      <w:bookmarkEnd w:id="16"/>
      <w:r w:rsidRPr="00322386">
        <w:rPr>
          <w:rFonts w:asciiTheme="majorBidi" w:hAnsiTheme="majorBidi" w:cstheme="majorBidi"/>
          <w:color w:val="000000" w:themeColor="text1"/>
        </w:rPr>
        <w:t>Sex Differences</w:t>
      </w:r>
    </w:p>
    <w:p w14:paraId="476400B7" w14:textId="4C8808AE"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Respondents self-identified their preferred SEX as either “Male”, “Female”, or “Undecided/Prefer Not </w:t>
      </w:r>
      <w:proofErr w:type="gramStart"/>
      <w:r w:rsidRPr="00322386">
        <w:rPr>
          <w:rFonts w:asciiTheme="majorBidi" w:hAnsiTheme="majorBidi" w:cstheme="majorBidi"/>
          <w:color w:val="000000" w:themeColor="text1"/>
        </w:rPr>
        <w:t>To</w:t>
      </w:r>
      <w:proofErr w:type="gramEnd"/>
      <w:r w:rsidRPr="00322386">
        <w:rPr>
          <w:rFonts w:asciiTheme="majorBidi" w:hAnsiTheme="majorBidi" w:cstheme="majorBidi"/>
          <w:color w:val="000000" w:themeColor="text1"/>
        </w:rPr>
        <w:t xml:space="preserve"> Say” in the initial survey and this question was not repeated in subsequent surveys.  Owing to the low sample size of the latter category (Median = 0), it could not be included in statistical analyses</w:t>
      </w:r>
      <w:r w:rsidR="006414C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Therefore, this dimension was analyzed in a binary fashion as either “Male” or “Female” only</w:t>
      </w:r>
      <w:r w:rsidR="006414C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Table </w:t>
      </w:r>
      <w:r w:rsidR="00101938" w:rsidRPr="00322386">
        <w:rPr>
          <w:rFonts w:asciiTheme="majorBidi" w:hAnsiTheme="majorBidi" w:cstheme="majorBidi"/>
          <w:color w:val="000000" w:themeColor="text1"/>
        </w:rPr>
        <w:t>2</w:t>
      </w:r>
      <w:r w:rsidRPr="00322386">
        <w:rPr>
          <w:rFonts w:asciiTheme="majorBidi" w:hAnsiTheme="majorBidi" w:cstheme="majorBidi"/>
          <w:color w:val="000000" w:themeColor="text1"/>
        </w:rPr>
        <w:t xml:space="preserve"> summarizes the results of sex comparisons across all time points, and Figure </w:t>
      </w:r>
      <w:r w:rsidR="00101938" w:rsidRPr="00322386">
        <w:rPr>
          <w:rFonts w:asciiTheme="majorBidi" w:hAnsiTheme="majorBidi" w:cstheme="majorBidi"/>
          <w:color w:val="000000" w:themeColor="text1"/>
        </w:rPr>
        <w:t>3</w:t>
      </w:r>
      <w:r w:rsidRPr="00322386">
        <w:rPr>
          <w:rFonts w:asciiTheme="majorBidi" w:hAnsiTheme="majorBidi" w:cstheme="majorBidi"/>
          <w:color w:val="000000" w:themeColor="text1"/>
        </w:rPr>
        <w:t xml:space="preserve"> displays any detected differences at each time point of the survey</w:t>
      </w:r>
      <w:r w:rsidR="006414C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However, 2-ways analyses of variance for SEX x TIME were not conducted for this paper</w:t>
      </w:r>
      <w:r w:rsidR="00941CAD" w:rsidRPr="00322386">
        <w:rPr>
          <w:rFonts w:asciiTheme="majorBidi" w:hAnsiTheme="majorBidi" w:cstheme="majorBidi"/>
          <w:color w:val="000000" w:themeColor="text1"/>
        </w:rPr>
        <w:t>, nor are they SI-adjusted.</w:t>
      </w:r>
    </w:p>
    <w:p w14:paraId="627C4B1D" w14:textId="77777777" w:rsidR="006D4E60" w:rsidRPr="00322386" w:rsidRDefault="006D4E60">
      <w:pPr>
        <w:rPr>
          <w:rFonts w:asciiTheme="majorBidi" w:hAnsiTheme="majorBidi" w:cstheme="majorBidi"/>
          <w:color w:val="000000" w:themeColor="text1"/>
        </w:rPr>
      </w:pPr>
    </w:p>
    <w:p w14:paraId="2A4687F9" w14:textId="0AF1F6A7" w:rsidR="00101938" w:rsidRPr="00322386" w:rsidRDefault="00101938" w:rsidP="00101938">
      <w:pPr>
        <w:pStyle w:val="Caption"/>
        <w:keepNext/>
        <w:rPr>
          <w:rFonts w:asciiTheme="majorBidi" w:hAnsiTheme="majorBidi" w:cstheme="majorBidi"/>
          <w:color w:val="000000" w:themeColor="text1"/>
        </w:rPr>
      </w:pPr>
      <w:r w:rsidRPr="00322386">
        <w:rPr>
          <w:rFonts w:asciiTheme="majorBidi" w:hAnsiTheme="majorBidi" w:cstheme="majorBidi"/>
          <w:color w:val="000000" w:themeColor="text1"/>
        </w:rPr>
        <w:t xml:space="preserve">Table </w:t>
      </w:r>
      <w:r w:rsidR="00D35890" w:rsidRPr="00322386">
        <w:rPr>
          <w:rFonts w:asciiTheme="majorBidi" w:hAnsiTheme="majorBidi" w:cstheme="majorBidi"/>
          <w:color w:val="000000" w:themeColor="text1"/>
        </w:rPr>
        <w:fldChar w:fldCharType="begin"/>
      </w:r>
      <w:r w:rsidR="00D35890" w:rsidRPr="00322386">
        <w:rPr>
          <w:rFonts w:asciiTheme="majorBidi" w:hAnsiTheme="majorBidi" w:cstheme="majorBidi"/>
          <w:color w:val="000000" w:themeColor="text1"/>
        </w:rPr>
        <w:instrText xml:space="preserve"> SEQ Table \* ARABIC </w:instrText>
      </w:r>
      <w:r w:rsidR="00D35890" w:rsidRPr="00322386">
        <w:rPr>
          <w:rFonts w:asciiTheme="majorBidi" w:hAnsiTheme="majorBidi" w:cstheme="majorBidi"/>
          <w:color w:val="000000" w:themeColor="text1"/>
        </w:rPr>
        <w:fldChar w:fldCharType="separate"/>
      </w:r>
      <w:r w:rsidR="00005BB6" w:rsidRPr="00322386">
        <w:rPr>
          <w:rFonts w:asciiTheme="majorBidi" w:hAnsiTheme="majorBidi" w:cstheme="majorBidi"/>
          <w:noProof/>
          <w:color w:val="000000" w:themeColor="text1"/>
        </w:rPr>
        <w:t>2</w:t>
      </w:r>
      <w:r w:rsidR="00D35890" w:rsidRPr="00322386">
        <w:rPr>
          <w:rFonts w:asciiTheme="majorBidi" w:hAnsiTheme="majorBidi" w:cstheme="majorBidi"/>
          <w:noProof/>
          <w:color w:val="000000" w:themeColor="text1"/>
        </w:rPr>
        <w:fldChar w:fldCharType="end"/>
      </w:r>
      <w:r w:rsidRPr="00322386">
        <w:rPr>
          <w:rFonts w:asciiTheme="majorBidi" w:hAnsiTheme="majorBidi" w:cstheme="majorBidi"/>
          <w:color w:val="000000" w:themeColor="text1"/>
        </w:rPr>
        <w:t xml:space="preserve"> : Comparison</w:t>
      </w:r>
      <w:r w:rsidR="00005BB6" w:rsidRPr="00322386">
        <w:rPr>
          <w:rFonts w:asciiTheme="majorBidi" w:hAnsiTheme="majorBidi" w:cstheme="majorBidi"/>
          <w:color w:val="000000" w:themeColor="text1"/>
        </w:rPr>
        <w:t>s</w:t>
      </w:r>
      <w:r w:rsidRPr="00322386">
        <w:rPr>
          <w:rFonts w:asciiTheme="majorBidi" w:hAnsiTheme="majorBidi" w:cstheme="majorBidi"/>
          <w:color w:val="000000" w:themeColor="text1"/>
        </w:rPr>
        <w:t xml:space="preserve"> of </w:t>
      </w:r>
      <w:r w:rsidR="00005BB6" w:rsidRPr="00322386">
        <w:rPr>
          <w:rFonts w:asciiTheme="majorBidi" w:hAnsiTheme="majorBidi" w:cstheme="majorBidi"/>
          <w:color w:val="000000" w:themeColor="text1"/>
        </w:rPr>
        <w:t>central tendency</w:t>
      </w:r>
      <w:r w:rsidRPr="00322386">
        <w:rPr>
          <w:rFonts w:asciiTheme="majorBidi" w:hAnsiTheme="majorBidi" w:cstheme="majorBidi"/>
          <w:color w:val="000000" w:themeColor="text1"/>
        </w:rPr>
        <w:t xml:space="preserve"> </w:t>
      </w:r>
      <w:r w:rsidR="00005BB6" w:rsidRPr="00322386">
        <w:rPr>
          <w:rFonts w:asciiTheme="majorBidi" w:hAnsiTheme="majorBidi" w:cstheme="majorBidi"/>
          <w:color w:val="000000" w:themeColor="text1"/>
        </w:rPr>
        <w:t>by</w:t>
      </w:r>
      <w:r w:rsidRPr="00322386">
        <w:rPr>
          <w:rFonts w:asciiTheme="majorBidi" w:hAnsiTheme="majorBidi" w:cstheme="majorBidi"/>
          <w:color w:val="000000" w:themeColor="text1"/>
        </w:rPr>
        <w:t xml:space="preserve"> sex at all collect</w:t>
      </w:r>
      <w:r w:rsidR="00005BB6" w:rsidRPr="00322386">
        <w:rPr>
          <w:rFonts w:asciiTheme="majorBidi" w:hAnsiTheme="majorBidi" w:cstheme="majorBidi"/>
          <w:color w:val="000000" w:themeColor="text1"/>
        </w:rPr>
        <w:t>ed</w:t>
      </w:r>
      <w:r w:rsidRPr="00322386">
        <w:rPr>
          <w:rFonts w:asciiTheme="majorBidi" w:hAnsiTheme="majorBidi" w:cstheme="majorBidi"/>
          <w:color w:val="000000" w:themeColor="text1"/>
        </w:rPr>
        <w:t xml:space="preserve"> time points.</w:t>
      </w:r>
    </w:p>
    <w:tbl>
      <w:tblPr>
        <w:tblStyle w:val="a0"/>
        <w:tblW w:w="4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325"/>
        <w:gridCol w:w="1215"/>
      </w:tblGrid>
      <w:tr w:rsidR="00322386" w:rsidRPr="00322386" w14:paraId="055A0102" w14:textId="77777777">
        <w:tc>
          <w:tcPr>
            <w:tcW w:w="1440" w:type="dxa"/>
            <w:shd w:val="clear" w:color="auto" w:fill="CCCCCC"/>
            <w:tcMar>
              <w:top w:w="100" w:type="dxa"/>
              <w:left w:w="100" w:type="dxa"/>
              <w:bottom w:w="100" w:type="dxa"/>
              <w:right w:w="100" w:type="dxa"/>
            </w:tcMar>
          </w:tcPr>
          <w:p w14:paraId="555A812F" w14:textId="77777777" w:rsidR="006D4E60" w:rsidRPr="00322386" w:rsidRDefault="00063B85">
            <w:pPr>
              <w:widowControl w:val="0"/>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Measure</w:t>
            </w:r>
          </w:p>
        </w:tc>
        <w:tc>
          <w:tcPr>
            <w:tcW w:w="2325" w:type="dxa"/>
            <w:shd w:val="clear" w:color="auto" w:fill="CCCCCC"/>
            <w:tcMar>
              <w:top w:w="100" w:type="dxa"/>
              <w:left w:w="100" w:type="dxa"/>
              <w:bottom w:w="100" w:type="dxa"/>
              <w:right w:w="100" w:type="dxa"/>
            </w:tcMar>
          </w:tcPr>
          <w:p w14:paraId="0C1AC643" w14:textId="77777777" w:rsidR="006D4E60" w:rsidRPr="00322386" w:rsidRDefault="00063B85">
            <w:pPr>
              <w:widowControl w:val="0"/>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Test Used</w:t>
            </w:r>
          </w:p>
        </w:tc>
        <w:tc>
          <w:tcPr>
            <w:tcW w:w="1215" w:type="dxa"/>
            <w:shd w:val="clear" w:color="auto" w:fill="CCCCCC"/>
            <w:tcMar>
              <w:top w:w="100" w:type="dxa"/>
              <w:left w:w="100" w:type="dxa"/>
              <w:bottom w:w="100" w:type="dxa"/>
              <w:right w:w="100" w:type="dxa"/>
            </w:tcMar>
          </w:tcPr>
          <w:p w14:paraId="7A34B82D" w14:textId="77777777" w:rsidR="006D4E60" w:rsidRPr="00322386" w:rsidRDefault="00063B85">
            <w:pPr>
              <w:widowControl w:val="0"/>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Result</w:t>
            </w:r>
          </w:p>
          <w:p w14:paraId="538A8D42" w14:textId="77777777" w:rsidR="006D4E60" w:rsidRPr="00322386" w:rsidRDefault="00063B85">
            <w:pPr>
              <w:widowControl w:val="0"/>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(p-value)</w:t>
            </w:r>
          </w:p>
        </w:tc>
      </w:tr>
      <w:tr w:rsidR="00322386" w:rsidRPr="00322386" w14:paraId="11275083" w14:textId="77777777">
        <w:tc>
          <w:tcPr>
            <w:tcW w:w="1440" w:type="dxa"/>
            <w:shd w:val="clear" w:color="auto" w:fill="auto"/>
            <w:tcMar>
              <w:top w:w="100" w:type="dxa"/>
              <w:left w:w="100" w:type="dxa"/>
              <w:bottom w:w="100" w:type="dxa"/>
              <w:right w:w="100" w:type="dxa"/>
            </w:tcMar>
          </w:tcPr>
          <w:p w14:paraId="68E5700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Loneliness</w:t>
            </w:r>
          </w:p>
        </w:tc>
        <w:tc>
          <w:tcPr>
            <w:tcW w:w="2325" w:type="dxa"/>
            <w:shd w:val="clear" w:color="auto" w:fill="auto"/>
            <w:tcMar>
              <w:top w:w="100" w:type="dxa"/>
              <w:left w:w="100" w:type="dxa"/>
              <w:bottom w:w="100" w:type="dxa"/>
              <w:right w:w="100" w:type="dxa"/>
            </w:tcMar>
          </w:tcPr>
          <w:p w14:paraId="4506E51A"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Wilcoxon Rank-Sum</w:t>
            </w:r>
          </w:p>
        </w:tc>
        <w:tc>
          <w:tcPr>
            <w:tcW w:w="1215" w:type="dxa"/>
            <w:shd w:val="clear" w:color="auto" w:fill="auto"/>
            <w:tcMar>
              <w:top w:w="100" w:type="dxa"/>
              <w:left w:w="100" w:type="dxa"/>
              <w:bottom w:w="100" w:type="dxa"/>
              <w:right w:w="100" w:type="dxa"/>
            </w:tcMar>
          </w:tcPr>
          <w:p w14:paraId="348FF14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0.0996</w:t>
            </w:r>
          </w:p>
        </w:tc>
      </w:tr>
      <w:tr w:rsidR="00322386" w:rsidRPr="00322386" w14:paraId="42E26A5F" w14:textId="77777777">
        <w:tc>
          <w:tcPr>
            <w:tcW w:w="1440" w:type="dxa"/>
            <w:shd w:val="clear" w:color="auto" w:fill="auto"/>
            <w:tcMar>
              <w:top w:w="100" w:type="dxa"/>
              <w:left w:w="100" w:type="dxa"/>
              <w:bottom w:w="100" w:type="dxa"/>
              <w:right w:w="100" w:type="dxa"/>
            </w:tcMar>
          </w:tcPr>
          <w:p w14:paraId="2C487BC5"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Sleep Quality</w:t>
            </w:r>
          </w:p>
        </w:tc>
        <w:tc>
          <w:tcPr>
            <w:tcW w:w="2325" w:type="dxa"/>
            <w:shd w:val="clear" w:color="auto" w:fill="auto"/>
            <w:tcMar>
              <w:top w:w="100" w:type="dxa"/>
              <w:left w:w="100" w:type="dxa"/>
              <w:bottom w:w="100" w:type="dxa"/>
              <w:right w:w="100" w:type="dxa"/>
            </w:tcMar>
          </w:tcPr>
          <w:p w14:paraId="73C107A9"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Wilcoxon Rank-Sum</w:t>
            </w:r>
          </w:p>
        </w:tc>
        <w:tc>
          <w:tcPr>
            <w:tcW w:w="1215" w:type="dxa"/>
            <w:shd w:val="clear" w:color="auto" w:fill="auto"/>
            <w:tcMar>
              <w:top w:w="100" w:type="dxa"/>
              <w:left w:w="100" w:type="dxa"/>
              <w:bottom w:w="100" w:type="dxa"/>
              <w:right w:w="100" w:type="dxa"/>
            </w:tcMar>
          </w:tcPr>
          <w:p w14:paraId="4F4FC918"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tc>
      </w:tr>
      <w:tr w:rsidR="00322386" w:rsidRPr="00322386" w14:paraId="6C1E7980" w14:textId="77777777">
        <w:trPr>
          <w:trHeight w:val="431"/>
        </w:trPr>
        <w:tc>
          <w:tcPr>
            <w:tcW w:w="1440" w:type="dxa"/>
            <w:shd w:val="clear" w:color="auto" w:fill="auto"/>
            <w:tcMar>
              <w:top w:w="100" w:type="dxa"/>
              <w:left w:w="100" w:type="dxa"/>
              <w:bottom w:w="100" w:type="dxa"/>
              <w:right w:w="100" w:type="dxa"/>
            </w:tcMar>
          </w:tcPr>
          <w:p w14:paraId="03179163"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Anxiety</w:t>
            </w:r>
          </w:p>
        </w:tc>
        <w:tc>
          <w:tcPr>
            <w:tcW w:w="2325" w:type="dxa"/>
            <w:shd w:val="clear" w:color="auto" w:fill="auto"/>
            <w:tcMar>
              <w:top w:w="100" w:type="dxa"/>
              <w:left w:w="100" w:type="dxa"/>
              <w:bottom w:w="100" w:type="dxa"/>
              <w:right w:w="100" w:type="dxa"/>
            </w:tcMar>
          </w:tcPr>
          <w:p w14:paraId="3A313265"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0C6725B6"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tc>
      </w:tr>
      <w:tr w:rsidR="00322386" w:rsidRPr="00322386" w14:paraId="165A511E" w14:textId="77777777">
        <w:tc>
          <w:tcPr>
            <w:tcW w:w="1440" w:type="dxa"/>
            <w:shd w:val="clear" w:color="auto" w:fill="auto"/>
            <w:tcMar>
              <w:top w:w="100" w:type="dxa"/>
              <w:left w:w="100" w:type="dxa"/>
              <w:bottom w:w="100" w:type="dxa"/>
              <w:right w:w="100" w:type="dxa"/>
            </w:tcMar>
          </w:tcPr>
          <w:p w14:paraId="68282127"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Tension</w:t>
            </w:r>
          </w:p>
        </w:tc>
        <w:tc>
          <w:tcPr>
            <w:tcW w:w="2325" w:type="dxa"/>
            <w:shd w:val="clear" w:color="auto" w:fill="auto"/>
            <w:tcMar>
              <w:top w:w="100" w:type="dxa"/>
              <w:left w:w="100" w:type="dxa"/>
              <w:bottom w:w="100" w:type="dxa"/>
              <w:right w:w="100" w:type="dxa"/>
            </w:tcMar>
          </w:tcPr>
          <w:p w14:paraId="668CC688"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41A948CA"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tc>
      </w:tr>
      <w:tr w:rsidR="00322386" w:rsidRPr="00322386" w14:paraId="793F6FF0" w14:textId="77777777">
        <w:tc>
          <w:tcPr>
            <w:tcW w:w="1440" w:type="dxa"/>
            <w:shd w:val="clear" w:color="auto" w:fill="auto"/>
            <w:tcMar>
              <w:top w:w="100" w:type="dxa"/>
              <w:left w:w="100" w:type="dxa"/>
              <w:bottom w:w="100" w:type="dxa"/>
              <w:right w:w="100" w:type="dxa"/>
            </w:tcMar>
          </w:tcPr>
          <w:p w14:paraId="21E6964F"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Depression</w:t>
            </w:r>
          </w:p>
        </w:tc>
        <w:tc>
          <w:tcPr>
            <w:tcW w:w="2325" w:type="dxa"/>
            <w:shd w:val="clear" w:color="auto" w:fill="auto"/>
            <w:tcMar>
              <w:top w:w="100" w:type="dxa"/>
              <w:left w:w="100" w:type="dxa"/>
              <w:bottom w:w="100" w:type="dxa"/>
              <w:right w:w="100" w:type="dxa"/>
            </w:tcMar>
          </w:tcPr>
          <w:p w14:paraId="2621273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60E9827A"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0.0042</w:t>
            </w:r>
          </w:p>
        </w:tc>
      </w:tr>
      <w:tr w:rsidR="00322386" w:rsidRPr="00322386" w14:paraId="3F2DF85E" w14:textId="77777777">
        <w:tc>
          <w:tcPr>
            <w:tcW w:w="1440" w:type="dxa"/>
            <w:shd w:val="clear" w:color="auto" w:fill="auto"/>
            <w:tcMar>
              <w:top w:w="100" w:type="dxa"/>
              <w:left w:w="100" w:type="dxa"/>
              <w:bottom w:w="100" w:type="dxa"/>
              <w:right w:w="100" w:type="dxa"/>
            </w:tcMar>
          </w:tcPr>
          <w:p w14:paraId="11B6406D"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Anger</w:t>
            </w:r>
          </w:p>
        </w:tc>
        <w:tc>
          <w:tcPr>
            <w:tcW w:w="2325" w:type="dxa"/>
            <w:shd w:val="clear" w:color="auto" w:fill="auto"/>
            <w:tcMar>
              <w:top w:w="100" w:type="dxa"/>
              <w:left w:w="100" w:type="dxa"/>
              <w:bottom w:w="100" w:type="dxa"/>
              <w:right w:w="100" w:type="dxa"/>
            </w:tcMar>
          </w:tcPr>
          <w:p w14:paraId="17D2615A"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7CED85AB"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0.2606</w:t>
            </w:r>
          </w:p>
        </w:tc>
      </w:tr>
      <w:tr w:rsidR="00322386" w:rsidRPr="00322386" w14:paraId="3F2A1D59" w14:textId="77777777">
        <w:tc>
          <w:tcPr>
            <w:tcW w:w="1440" w:type="dxa"/>
            <w:shd w:val="clear" w:color="auto" w:fill="auto"/>
            <w:tcMar>
              <w:top w:w="100" w:type="dxa"/>
              <w:left w:w="100" w:type="dxa"/>
              <w:bottom w:w="100" w:type="dxa"/>
              <w:right w:w="100" w:type="dxa"/>
            </w:tcMar>
          </w:tcPr>
          <w:p w14:paraId="619E02BE"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Fatigue</w:t>
            </w:r>
          </w:p>
        </w:tc>
        <w:tc>
          <w:tcPr>
            <w:tcW w:w="2325" w:type="dxa"/>
            <w:shd w:val="clear" w:color="auto" w:fill="auto"/>
            <w:tcMar>
              <w:top w:w="100" w:type="dxa"/>
              <w:left w:w="100" w:type="dxa"/>
              <w:bottom w:w="100" w:type="dxa"/>
              <w:right w:w="100" w:type="dxa"/>
            </w:tcMar>
          </w:tcPr>
          <w:p w14:paraId="05DC0FA4"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6650A72C"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tc>
      </w:tr>
      <w:tr w:rsidR="00322386" w:rsidRPr="00322386" w14:paraId="1D949F8C" w14:textId="77777777">
        <w:tc>
          <w:tcPr>
            <w:tcW w:w="1440" w:type="dxa"/>
            <w:shd w:val="clear" w:color="auto" w:fill="auto"/>
            <w:tcMar>
              <w:top w:w="100" w:type="dxa"/>
              <w:left w:w="100" w:type="dxa"/>
              <w:bottom w:w="100" w:type="dxa"/>
              <w:right w:w="100" w:type="dxa"/>
            </w:tcMar>
          </w:tcPr>
          <w:p w14:paraId="4DB4BB6B"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Vigor</w:t>
            </w:r>
          </w:p>
        </w:tc>
        <w:tc>
          <w:tcPr>
            <w:tcW w:w="2325" w:type="dxa"/>
            <w:shd w:val="clear" w:color="auto" w:fill="auto"/>
            <w:tcMar>
              <w:top w:w="100" w:type="dxa"/>
              <w:left w:w="100" w:type="dxa"/>
              <w:bottom w:w="100" w:type="dxa"/>
              <w:right w:w="100" w:type="dxa"/>
            </w:tcMar>
          </w:tcPr>
          <w:p w14:paraId="2986DAC7"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3583D524"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tc>
      </w:tr>
      <w:tr w:rsidR="00322386" w:rsidRPr="00322386" w14:paraId="6CBE35B5" w14:textId="77777777">
        <w:trPr>
          <w:trHeight w:val="461"/>
        </w:trPr>
        <w:tc>
          <w:tcPr>
            <w:tcW w:w="1440" w:type="dxa"/>
            <w:shd w:val="clear" w:color="auto" w:fill="auto"/>
            <w:tcMar>
              <w:top w:w="100" w:type="dxa"/>
              <w:left w:w="100" w:type="dxa"/>
              <w:bottom w:w="100" w:type="dxa"/>
              <w:right w:w="100" w:type="dxa"/>
            </w:tcMar>
          </w:tcPr>
          <w:p w14:paraId="69B96CB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Sleep Quality</w:t>
            </w:r>
          </w:p>
        </w:tc>
        <w:tc>
          <w:tcPr>
            <w:tcW w:w="2325" w:type="dxa"/>
            <w:shd w:val="clear" w:color="auto" w:fill="auto"/>
            <w:tcMar>
              <w:top w:w="100" w:type="dxa"/>
              <w:left w:w="100" w:type="dxa"/>
              <w:bottom w:w="100" w:type="dxa"/>
              <w:right w:w="100" w:type="dxa"/>
            </w:tcMar>
          </w:tcPr>
          <w:p w14:paraId="098B89F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ANOVA</w:t>
            </w:r>
          </w:p>
        </w:tc>
        <w:tc>
          <w:tcPr>
            <w:tcW w:w="1215" w:type="dxa"/>
            <w:shd w:val="clear" w:color="auto" w:fill="auto"/>
            <w:tcMar>
              <w:top w:w="100" w:type="dxa"/>
              <w:left w:w="100" w:type="dxa"/>
              <w:bottom w:w="100" w:type="dxa"/>
              <w:right w:w="100" w:type="dxa"/>
            </w:tcMar>
          </w:tcPr>
          <w:p w14:paraId="4937622D"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tc>
      </w:tr>
      <w:tr w:rsidR="00322386" w:rsidRPr="00322386" w14:paraId="719A8C1E" w14:textId="77777777">
        <w:trPr>
          <w:trHeight w:val="533"/>
        </w:trPr>
        <w:tc>
          <w:tcPr>
            <w:tcW w:w="1440" w:type="dxa"/>
            <w:shd w:val="clear" w:color="auto" w:fill="auto"/>
            <w:tcMar>
              <w:top w:w="100" w:type="dxa"/>
              <w:left w:w="100" w:type="dxa"/>
              <w:bottom w:w="100" w:type="dxa"/>
              <w:right w:w="100" w:type="dxa"/>
            </w:tcMar>
          </w:tcPr>
          <w:p w14:paraId="581F4708"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Vigorous Exercise Days</w:t>
            </w:r>
          </w:p>
        </w:tc>
        <w:tc>
          <w:tcPr>
            <w:tcW w:w="2325" w:type="dxa"/>
            <w:shd w:val="clear" w:color="auto" w:fill="auto"/>
            <w:tcMar>
              <w:top w:w="100" w:type="dxa"/>
              <w:left w:w="100" w:type="dxa"/>
              <w:bottom w:w="100" w:type="dxa"/>
              <w:right w:w="100" w:type="dxa"/>
            </w:tcMar>
          </w:tcPr>
          <w:p w14:paraId="42F4D57F"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45AF4FF0"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 0.001</w:t>
            </w:r>
          </w:p>
        </w:tc>
      </w:tr>
      <w:tr w:rsidR="00322386" w:rsidRPr="00322386" w14:paraId="5F60990B" w14:textId="77777777">
        <w:trPr>
          <w:trHeight w:val="533"/>
        </w:trPr>
        <w:tc>
          <w:tcPr>
            <w:tcW w:w="1440" w:type="dxa"/>
            <w:shd w:val="clear" w:color="auto" w:fill="auto"/>
            <w:tcMar>
              <w:top w:w="100" w:type="dxa"/>
              <w:left w:w="100" w:type="dxa"/>
              <w:bottom w:w="100" w:type="dxa"/>
              <w:right w:w="100" w:type="dxa"/>
            </w:tcMar>
          </w:tcPr>
          <w:p w14:paraId="50FE443F"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Vigorous Exercise</w:t>
            </w:r>
          </w:p>
        </w:tc>
        <w:tc>
          <w:tcPr>
            <w:tcW w:w="2325" w:type="dxa"/>
            <w:shd w:val="clear" w:color="auto" w:fill="auto"/>
            <w:tcMar>
              <w:top w:w="100" w:type="dxa"/>
              <w:left w:w="100" w:type="dxa"/>
              <w:bottom w:w="100" w:type="dxa"/>
              <w:right w:w="100" w:type="dxa"/>
            </w:tcMar>
          </w:tcPr>
          <w:p w14:paraId="458D0DB6"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4F53DD60"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0.0025</w:t>
            </w:r>
          </w:p>
        </w:tc>
      </w:tr>
      <w:tr w:rsidR="00322386" w:rsidRPr="00322386" w14:paraId="3C672774" w14:textId="77777777">
        <w:trPr>
          <w:trHeight w:val="533"/>
        </w:trPr>
        <w:tc>
          <w:tcPr>
            <w:tcW w:w="1440" w:type="dxa"/>
            <w:shd w:val="clear" w:color="auto" w:fill="auto"/>
            <w:tcMar>
              <w:top w:w="100" w:type="dxa"/>
              <w:left w:w="100" w:type="dxa"/>
              <w:bottom w:w="100" w:type="dxa"/>
              <w:right w:w="100" w:type="dxa"/>
            </w:tcMar>
          </w:tcPr>
          <w:p w14:paraId="17DC2DCA"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Moderate Exercise Days</w:t>
            </w:r>
          </w:p>
        </w:tc>
        <w:tc>
          <w:tcPr>
            <w:tcW w:w="2325" w:type="dxa"/>
            <w:shd w:val="clear" w:color="auto" w:fill="auto"/>
            <w:tcMar>
              <w:top w:w="100" w:type="dxa"/>
              <w:left w:w="100" w:type="dxa"/>
              <w:bottom w:w="100" w:type="dxa"/>
              <w:right w:w="100" w:type="dxa"/>
            </w:tcMar>
          </w:tcPr>
          <w:p w14:paraId="74D55C58"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3844A47D"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0.4699</w:t>
            </w:r>
          </w:p>
        </w:tc>
      </w:tr>
      <w:tr w:rsidR="00322386" w:rsidRPr="00322386" w14:paraId="1B118B18" w14:textId="77777777">
        <w:trPr>
          <w:trHeight w:val="533"/>
        </w:trPr>
        <w:tc>
          <w:tcPr>
            <w:tcW w:w="1440" w:type="dxa"/>
            <w:shd w:val="clear" w:color="auto" w:fill="auto"/>
            <w:tcMar>
              <w:top w:w="100" w:type="dxa"/>
              <w:left w:w="100" w:type="dxa"/>
              <w:bottom w:w="100" w:type="dxa"/>
              <w:right w:w="100" w:type="dxa"/>
            </w:tcMar>
          </w:tcPr>
          <w:p w14:paraId="5C615106"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Moderate Exercise</w:t>
            </w:r>
          </w:p>
        </w:tc>
        <w:tc>
          <w:tcPr>
            <w:tcW w:w="2325" w:type="dxa"/>
            <w:shd w:val="clear" w:color="auto" w:fill="auto"/>
            <w:tcMar>
              <w:top w:w="100" w:type="dxa"/>
              <w:left w:w="100" w:type="dxa"/>
              <w:bottom w:w="100" w:type="dxa"/>
              <w:right w:w="100" w:type="dxa"/>
            </w:tcMar>
          </w:tcPr>
          <w:p w14:paraId="1C6E42C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4D0384FC"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0.9476</w:t>
            </w:r>
          </w:p>
        </w:tc>
      </w:tr>
      <w:tr w:rsidR="00322386" w:rsidRPr="00322386" w14:paraId="44442A87" w14:textId="77777777">
        <w:trPr>
          <w:trHeight w:val="533"/>
        </w:trPr>
        <w:tc>
          <w:tcPr>
            <w:tcW w:w="1440" w:type="dxa"/>
            <w:shd w:val="clear" w:color="auto" w:fill="auto"/>
            <w:tcMar>
              <w:top w:w="100" w:type="dxa"/>
              <w:left w:w="100" w:type="dxa"/>
              <w:bottom w:w="100" w:type="dxa"/>
              <w:right w:w="100" w:type="dxa"/>
            </w:tcMar>
          </w:tcPr>
          <w:p w14:paraId="0B11DF81"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Walking Days</w:t>
            </w:r>
          </w:p>
        </w:tc>
        <w:tc>
          <w:tcPr>
            <w:tcW w:w="2325" w:type="dxa"/>
            <w:shd w:val="clear" w:color="auto" w:fill="auto"/>
            <w:tcMar>
              <w:top w:w="100" w:type="dxa"/>
              <w:left w:w="100" w:type="dxa"/>
              <w:bottom w:w="100" w:type="dxa"/>
              <w:right w:w="100" w:type="dxa"/>
            </w:tcMar>
          </w:tcPr>
          <w:p w14:paraId="47B80BCA"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7AA9198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1</w:t>
            </w:r>
          </w:p>
        </w:tc>
      </w:tr>
      <w:tr w:rsidR="00322386" w:rsidRPr="00322386" w14:paraId="53FEA4DF" w14:textId="77777777">
        <w:trPr>
          <w:trHeight w:val="533"/>
        </w:trPr>
        <w:tc>
          <w:tcPr>
            <w:tcW w:w="1440" w:type="dxa"/>
            <w:shd w:val="clear" w:color="auto" w:fill="auto"/>
            <w:tcMar>
              <w:top w:w="100" w:type="dxa"/>
              <w:left w:w="100" w:type="dxa"/>
              <w:bottom w:w="100" w:type="dxa"/>
              <w:right w:w="100" w:type="dxa"/>
            </w:tcMar>
          </w:tcPr>
          <w:p w14:paraId="06204D98"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Walking</w:t>
            </w:r>
          </w:p>
        </w:tc>
        <w:tc>
          <w:tcPr>
            <w:tcW w:w="2325" w:type="dxa"/>
            <w:shd w:val="clear" w:color="auto" w:fill="auto"/>
            <w:tcMar>
              <w:top w:w="100" w:type="dxa"/>
              <w:left w:w="100" w:type="dxa"/>
              <w:bottom w:w="100" w:type="dxa"/>
              <w:right w:w="100" w:type="dxa"/>
            </w:tcMar>
          </w:tcPr>
          <w:p w14:paraId="204D7DD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57E053E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0.7928</w:t>
            </w:r>
          </w:p>
        </w:tc>
      </w:tr>
      <w:tr w:rsidR="00322386" w:rsidRPr="00322386" w14:paraId="1CD50939" w14:textId="77777777">
        <w:trPr>
          <w:trHeight w:val="533"/>
        </w:trPr>
        <w:tc>
          <w:tcPr>
            <w:tcW w:w="1440" w:type="dxa"/>
            <w:shd w:val="clear" w:color="auto" w:fill="auto"/>
            <w:tcMar>
              <w:top w:w="100" w:type="dxa"/>
              <w:left w:w="100" w:type="dxa"/>
              <w:bottom w:w="100" w:type="dxa"/>
              <w:right w:w="100" w:type="dxa"/>
            </w:tcMar>
          </w:tcPr>
          <w:p w14:paraId="6B07D973"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Sitting</w:t>
            </w:r>
          </w:p>
        </w:tc>
        <w:tc>
          <w:tcPr>
            <w:tcW w:w="2325" w:type="dxa"/>
            <w:shd w:val="clear" w:color="auto" w:fill="auto"/>
            <w:tcMar>
              <w:top w:w="100" w:type="dxa"/>
              <w:left w:w="100" w:type="dxa"/>
              <w:bottom w:w="100" w:type="dxa"/>
              <w:right w:w="100" w:type="dxa"/>
            </w:tcMar>
          </w:tcPr>
          <w:p w14:paraId="272DF3D6"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28F01151"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0.7928</w:t>
            </w:r>
          </w:p>
        </w:tc>
      </w:tr>
      <w:tr w:rsidR="00322386" w:rsidRPr="00322386" w14:paraId="3776BDE5" w14:textId="77777777" w:rsidTr="00941CAD">
        <w:trPr>
          <w:trHeight w:val="852"/>
        </w:trPr>
        <w:tc>
          <w:tcPr>
            <w:tcW w:w="1440" w:type="dxa"/>
            <w:shd w:val="clear" w:color="auto" w:fill="auto"/>
            <w:tcMar>
              <w:top w:w="100" w:type="dxa"/>
              <w:left w:w="100" w:type="dxa"/>
              <w:bottom w:w="100" w:type="dxa"/>
              <w:right w:w="100" w:type="dxa"/>
            </w:tcMar>
          </w:tcPr>
          <w:p w14:paraId="33CF9D69"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Total Exercise</w:t>
            </w:r>
          </w:p>
        </w:tc>
        <w:tc>
          <w:tcPr>
            <w:tcW w:w="2325" w:type="dxa"/>
            <w:shd w:val="clear" w:color="auto" w:fill="auto"/>
            <w:tcMar>
              <w:top w:w="100" w:type="dxa"/>
              <w:left w:w="100" w:type="dxa"/>
              <w:bottom w:w="100" w:type="dxa"/>
              <w:right w:w="100" w:type="dxa"/>
            </w:tcMar>
          </w:tcPr>
          <w:p w14:paraId="3ED6867B"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Two sample T-test</w:t>
            </w:r>
          </w:p>
        </w:tc>
        <w:tc>
          <w:tcPr>
            <w:tcW w:w="1215" w:type="dxa"/>
            <w:shd w:val="clear" w:color="auto" w:fill="auto"/>
            <w:tcMar>
              <w:top w:w="100" w:type="dxa"/>
              <w:left w:w="100" w:type="dxa"/>
              <w:bottom w:w="100" w:type="dxa"/>
              <w:right w:w="100" w:type="dxa"/>
            </w:tcMar>
          </w:tcPr>
          <w:p w14:paraId="46F20582"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0.0017</w:t>
            </w:r>
          </w:p>
          <w:p w14:paraId="4DCA2A7C"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(means)</w:t>
            </w:r>
          </w:p>
          <w:p w14:paraId="5FCCC437"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0.0021</w:t>
            </w:r>
          </w:p>
          <w:p w14:paraId="4D9064C5"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(medians)</w:t>
            </w:r>
          </w:p>
        </w:tc>
      </w:tr>
      <w:tr w:rsidR="00322386" w:rsidRPr="00322386" w14:paraId="2B616644" w14:textId="77777777">
        <w:trPr>
          <w:trHeight w:val="533"/>
        </w:trPr>
        <w:tc>
          <w:tcPr>
            <w:tcW w:w="1440" w:type="dxa"/>
            <w:shd w:val="clear" w:color="auto" w:fill="auto"/>
            <w:tcMar>
              <w:top w:w="100" w:type="dxa"/>
              <w:left w:w="100" w:type="dxa"/>
              <w:bottom w:w="100" w:type="dxa"/>
              <w:right w:w="100" w:type="dxa"/>
            </w:tcMar>
          </w:tcPr>
          <w:p w14:paraId="615FDC59"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Tobacco Use</w:t>
            </w:r>
          </w:p>
        </w:tc>
        <w:tc>
          <w:tcPr>
            <w:tcW w:w="2325" w:type="dxa"/>
            <w:shd w:val="clear" w:color="auto" w:fill="auto"/>
            <w:tcMar>
              <w:top w:w="100" w:type="dxa"/>
              <w:left w:w="100" w:type="dxa"/>
              <w:bottom w:w="100" w:type="dxa"/>
              <w:right w:w="100" w:type="dxa"/>
            </w:tcMar>
          </w:tcPr>
          <w:p w14:paraId="35951A39"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Insufficient data to run tests</w:t>
            </w:r>
          </w:p>
        </w:tc>
        <w:tc>
          <w:tcPr>
            <w:tcW w:w="1215" w:type="dxa"/>
            <w:shd w:val="clear" w:color="auto" w:fill="auto"/>
            <w:tcMar>
              <w:top w:w="100" w:type="dxa"/>
              <w:left w:w="100" w:type="dxa"/>
              <w:bottom w:w="100" w:type="dxa"/>
              <w:right w:w="100" w:type="dxa"/>
            </w:tcMar>
          </w:tcPr>
          <w:p w14:paraId="341BD905"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N/A</w:t>
            </w:r>
          </w:p>
        </w:tc>
      </w:tr>
      <w:tr w:rsidR="00322386" w:rsidRPr="00322386" w14:paraId="41070487" w14:textId="77777777">
        <w:trPr>
          <w:trHeight w:val="533"/>
        </w:trPr>
        <w:tc>
          <w:tcPr>
            <w:tcW w:w="1440" w:type="dxa"/>
            <w:shd w:val="clear" w:color="auto" w:fill="auto"/>
            <w:tcMar>
              <w:top w:w="100" w:type="dxa"/>
              <w:left w:w="100" w:type="dxa"/>
              <w:bottom w:w="100" w:type="dxa"/>
              <w:right w:w="100" w:type="dxa"/>
            </w:tcMar>
          </w:tcPr>
          <w:p w14:paraId="529D033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Beer Use</w:t>
            </w:r>
          </w:p>
        </w:tc>
        <w:tc>
          <w:tcPr>
            <w:tcW w:w="2325" w:type="dxa"/>
            <w:shd w:val="clear" w:color="auto" w:fill="auto"/>
            <w:tcMar>
              <w:top w:w="100" w:type="dxa"/>
              <w:left w:w="100" w:type="dxa"/>
              <w:bottom w:w="100" w:type="dxa"/>
              <w:right w:w="100" w:type="dxa"/>
            </w:tcMar>
          </w:tcPr>
          <w:p w14:paraId="6C902306"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709C8E2B"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0.2739</w:t>
            </w:r>
          </w:p>
        </w:tc>
      </w:tr>
      <w:tr w:rsidR="00322386" w:rsidRPr="00322386" w14:paraId="16BEE2EE" w14:textId="77777777">
        <w:trPr>
          <w:trHeight w:val="533"/>
        </w:trPr>
        <w:tc>
          <w:tcPr>
            <w:tcW w:w="1440" w:type="dxa"/>
            <w:shd w:val="clear" w:color="auto" w:fill="auto"/>
            <w:tcMar>
              <w:top w:w="100" w:type="dxa"/>
              <w:left w:w="100" w:type="dxa"/>
              <w:bottom w:w="100" w:type="dxa"/>
              <w:right w:w="100" w:type="dxa"/>
            </w:tcMar>
          </w:tcPr>
          <w:p w14:paraId="45458117"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Wine Use</w:t>
            </w:r>
          </w:p>
        </w:tc>
        <w:tc>
          <w:tcPr>
            <w:tcW w:w="2325" w:type="dxa"/>
            <w:shd w:val="clear" w:color="auto" w:fill="auto"/>
            <w:tcMar>
              <w:top w:w="100" w:type="dxa"/>
              <w:left w:w="100" w:type="dxa"/>
              <w:bottom w:w="100" w:type="dxa"/>
              <w:right w:w="100" w:type="dxa"/>
            </w:tcMar>
          </w:tcPr>
          <w:p w14:paraId="1676253A"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4D7EDBB1"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0.2599</w:t>
            </w:r>
          </w:p>
        </w:tc>
      </w:tr>
      <w:tr w:rsidR="00322386" w:rsidRPr="00322386" w14:paraId="2283E5F2" w14:textId="77777777">
        <w:trPr>
          <w:trHeight w:val="533"/>
        </w:trPr>
        <w:tc>
          <w:tcPr>
            <w:tcW w:w="1440" w:type="dxa"/>
            <w:shd w:val="clear" w:color="auto" w:fill="auto"/>
            <w:tcMar>
              <w:top w:w="100" w:type="dxa"/>
              <w:left w:w="100" w:type="dxa"/>
              <w:bottom w:w="100" w:type="dxa"/>
              <w:right w:w="100" w:type="dxa"/>
            </w:tcMar>
          </w:tcPr>
          <w:p w14:paraId="34147ED5"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Liquor Use</w:t>
            </w:r>
          </w:p>
        </w:tc>
        <w:tc>
          <w:tcPr>
            <w:tcW w:w="2325" w:type="dxa"/>
            <w:shd w:val="clear" w:color="auto" w:fill="auto"/>
            <w:tcMar>
              <w:top w:w="100" w:type="dxa"/>
              <w:left w:w="100" w:type="dxa"/>
              <w:bottom w:w="100" w:type="dxa"/>
              <w:right w:w="100" w:type="dxa"/>
            </w:tcMar>
          </w:tcPr>
          <w:p w14:paraId="115277F7"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23D0F641"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0.0193</w:t>
            </w:r>
          </w:p>
        </w:tc>
      </w:tr>
      <w:tr w:rsidR="00322386" w:rsidRPr="00322386" w14:paraId="52433905" w14:textId="77777777">
        <w:trPr>
          <w:trHeight w:val="533"/>
        </w:trPr>
        <w:tc>
          <w:tcPr>
            <w:tcW w:w="1440" w:type="dxa"/>
            <w:shd w:val="clear" w:color="auto" w:fill="auto"/>
            <w:tcMar>
              <w:top w:w="100" w:type="dxa"/>
              <w:left w:w="100" w:type="dxa"/>
              <w:bottom w:w="100" w:type="dxa"/>
              <w:right w:w="100" w:type="dxa"/>
            </w:tcMar>
          </w:tcPr>
          <w:p w14:paraId="39192F95"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Tea Use</w:t>
            </w:r>
          </w:p>
        </w:tc>
        <w:tc>
          <w:tcPr>
            <w:tcW w:w="2325" w:type="dxa"/>
            <w:shd w:val="clear" w:color="auto" w:fill="auto"/>
            <w:tcMar>
              <w:top w:w="100" w:type="dxa"/>
              <w:left w:w="100" w:type="dxa"/>
              <w:bottom w:w="100" w:type="dxa"/>
              <w:right w:w="100" w:type="dxa"/>
            </w:tcMar>
          </w:tcPr>
          <w:p w14:paraId="16434996"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2E6ACCE5"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0.6682</w:t>
            </w:r>
          </w:p>
        </w:tc>
      </w:tr>
      <w:tr w:rsidR="00322386" w:rsidRPr="00322386" w14:paraId="285DF1F8" w14:textId="77777777">
        <w:trPr>
          <w:trHeight w:val="533"/>
        </w:trPr>
        <w:tc>
          <w:tcPr>
            <w:tcW w:w="1440" w:type="dxa"/>
            <w:shd w:val="clear" w:color="auto" w:fill="auto"/>
            <w:tcMar>
              <w:top w:w="100" w:type="dxa"/>
              <w:left w:w="100" w:type="dxa"/>
              <w:bottom w:w="100" w:type="dxa"/>
              <w:right w:w="100" w:type="dxa"/>
            </w:tcMar>
          </w:tcPr>
          <w:p w14:paraId="77EF47C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Coffee Use</w:t>
            </w:r>
          </w:p>
        </w:tc>
        <w:tc>
          <w:tcPr>
            <w:tcW w:w="2325" w:type="dxa"/>
            <w:shd w:val="clear" w:color="auto" w:fill="auto"/>
            <w:tcMar>
              <w:top w:w="100" w:type="dxa"/>
              <w:left w:w="100" w:type="dxa"/>
              <w:bottom w:w="100" w:type="dxa"/>
              <w:right w:w="100" w:type="dxa"/>
            </w:tcMar>
          </w:tcPr>
          <w:p w14:paraId="31A0E09A"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03D548FE"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0.0031</w:t>
            </w:r>
          </w:p>
        </w:tc>
      </w:tr>
      <w:tr w:rsidR="00322386" w:rsidRPr="00322386" w14:paraId="5D01DA13" w14:textId="77777777">
        <w:trPr>
          <w:trHeight w:val="533"/>
        </w:trPr>
        <w:tc>
          <w:tcPr>
            <w:tcW w:w="1440" w:type="dxa"/>
            <w:shd w:val="clear" w:color="auto" w:fill="auto"/>
            <w:tcMar>
              <w:top w:w="100" w:type="dxa"/>
              <w:left w:w="100" w:type="dxa"/>
              <w:bottom w:w="100" w:type="dxa"/>
              <w:right w:w="100" w:type="dxa"/>
            </w:tcMar>
          </w:tcPr>
          <w:p w14:paraId="37188BB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Other Stimulant Beverage Use</w:t>
            </w:r>
          </w:p>
        </w:tc>
        <w:tc>
          <w:tcPr>
            <w:tcW w:w="2325" w:type="dxa"/>
            <w:shd w:val="clear" w:color="auto" w:fill="auto"/>
            <w:tcMar>
              <w:top w:w="100" w:type="dxa"/>
              <w:left w:w="100" w:type="dxa"/>
              <w:bottom w:w="100" w:type="dxa"/>
              <w:right w:w="100" w:type="dxa"/>
            </w:tcMar>
          </w:tcPr>
          <w:p w14:paraId="43B3BB8D"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612ED72E"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0.0445</w:t>
            </w:r>
          </w:p>
        </w:tc>
      </w:tr>
      <w:tr w:rsidR="00322386" w:rsidRPr="00322386" w14:paraId="2BE48965" w14:textId="77777777">
        <w:trPr>
          <w:trHeight w:val="533"/>
        </w:trPr>
        <w:tc>
          <w:tcPr>
            <w:tcW w:w="1440" w:type="dxa"/>
            <w:shd w:val="clear" w:color="auto" w:fill="auto"/>
            <w:tcMar>
              <w:top w:w="100" w:type="dxa"/>
              <w:left w:w="100" w:type="dxa"/>
              <w:bottom w:w="100" w:type="dxa"/>
              <w:right w:w="100" w:type="dxa"/>
            </w:tcMar>
          </w:tcPr>
          <w:p w14:paraId="2B17E6FE"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Crisis Length Expectancy</w:t>
            </w:r>
          </w:p>
        </w:tc>
        <w:tc>
          <w:tcPr>
            <w:tcW w:w="2325" w:type="dxa"/>
            <w:shd w:val="clear" w:color="auto" w:fill="auto"/>
            <w:tcMar>
              <w:top w:w="100" w:type="dxa"/>
              <w:left w:w="100" w:type="dxa"/>
              <w:bottom w:w="100" w:type="dxa"/>
              <w:right w:w="100" w:type="dxa"/>
            </w:tcMar>
          </w:tcPr>
          <w:p w14:paraId="4F055AD1"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Wilcoxon Rank-Sum</w:t>
            </w:r>
          </w:p>
        </w:tc>
        <w:tc>
          <w:tcPr>
            <w:tcW w:w="1215" w:type="dxa"/>
            <w:shd w:val="clear" w:color="auto" w:fill="auto"/>
            <w:tcMar>
              <w:top w:w="100" w:type="dxa"/>
              <w:left w:w="100" w:type="dxa"/>
              <w:bottom w:w="100" w:type="dxa"/>
              <w:right w:w="100" w:type="dxa"/>
            </w:tcMar>
          </w:tcPr>
          <w:p w14:paraId="1B79D4C7"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&lt;0.001</w:t>
            </w:r>
          </w:p>
        </w:tc>
      </w:tr>
      <w:tr w:rsidR="006D4E60" w:rsidRPr="00322386" w14:paraId="5B52D6AF" w14:textId="77777777">
        <w:trPr>
          <w:trHeight w:val="533"/>
        </w:trPr>
        <w:tc>
          <w:tcPr>
            <w:tcW w:w="1440" w:type="dxa"/>
            <w:shd w:val="clear" w:color="auto" w:fill="auto"/>
            <w:tcMar>
              <w:top w:w="100" w:type="dxa"/>
              <w:left w:w="100" w:type="dxa"/>
              <w:bottom w:w="100" w:type="dxa"/>
              <w:right w:w="100" w:type="dxa"/>
            </w:tcMar>
          </w:tcPr>
          <w:p w14:paraId="7977BCE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Seriousness of COVID-19 Threat </w:t>
            </w:r>
          </w:p>
        </w:tc>
        <w:tc>
          <w:tcPr>
            <w:tcW w:w="2325" w:type="dxa"/>
            <w:shd w:val="clear" w:color="auto" w:fill="auto"/>
            <w:tcMar>
              <w:top w:w="100" w:type="dxa"/>
              <w:left w:w="100" w:type="dxa"/>
              <w:bottom w:w="100" w:type="dxa"/>
              <w:right w:w="100" w:type="dxa"/>
            </w:tcMar>
          </w:tcPr>
          <w:p w14:paraId="0196181A"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Wilcoxon Rank-Sum</w:t>
            </w:r>
          </w:p>
        </w:tc>
        <w:tc>
          <w:tcPr>
            <w:tcW w:w="1215" w:type="dxa"/>
            <w:shd w:val="clear" w:color="auto" w:fill="auto"/>
            <w:tcMar>
              <w:top w:w="100" w:type="dxa"/>
              <w:left w:w="100" w:type="dxa"/>
              <w:bottom w:w="100" w:type="dxa"/>
              <w:right w:w="100" w:type="dxa"/>
            </w:tcMar>
          </w:tcPr>
          <w:p w14:paraId="7627436E" w14:textId="77777777" w:rsidR="006D4E60" w:rsidRPr="00322386" w:rsidRDefault="00063B85">
            <w:pPr>
              <w:widowControl w:val="0"/>
              <w:spacing w:line="240" w:lineRule="auto"/>
              <w:rPr>
                <w:rFonts w:asciiTheme="majorBidi" w:hAnsiTheme="majorBidi" w:cstheme="majorBidi"/>
                <w:i/>
                <w:color w:val="000000" w:themeColor="text1"/>
                <w:sz w:val="18"/>
                <w:szCs w:val="18"/>
              </w:rPr>
            </w:pPr>
            <w:r w:rsidRPr="00322386">
              <w:rPr>
                <w:rFonts w:asciiTheme="majorBidi" w:hAnsiTheme="majorBidi" w:cstheme="majorBidi"/>
                <w:i/>
                <w:color w:val="000000" w:themeColor="text1"/>
                <w:sz w:val="18"/>
                <w:szCs w:val="18"/>
              </w:rPr>
              <w:t>0.0027</w:t>
            </w:r>
          </w:p>
        </w:tc>
      </w:tr>
    </w:tbl>
    <w:p w14:paraId="1402E965" w14:textId="77777777" w:rsidR="006D4E60" w:rsidRPr="00322386" w:rsidRDefault="006D4E60">
      <w:pPr>
        <w:rPr>
          <w:rFonts w:asciiTheme="majorBidi" w:hAnsiTheme="majorBidi" w:cstheme="majorBidi"/>
          <w:color w:val="000000" w:themeColor="text1"/>
        </w:rPr>
      </w:pPr>
    </w:p>
    <w:p w14:paraId="4EC077CB" w14:textId="77777777"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i/>
          <w:color w:val="000000" w:themeColor="text1"/>
        </w:rPr>
        <w:t xml:space="preserve">   </w:t>
      </w:r>
      <w:r w:rsidRPr="00322386">
        <w:rPr>
          <w:rFonts w:asciiTheme="majorBidi" w:hAnsiTheme="majorBidi" w:cstheme="majorBidi"/>
          <w:i/>
          <w:color w:val="000000" w:themeColor="text1"/>
        </w:rPr>
        <w:tab/>
        <w:t>POMS Depression</w:t>
      </w:r>
    </w:p>
    <w:p w14:paraId="48C0981D" w14:textId="68940D13"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Using a Wilcoxon Rank sum test compared all the male variables to </w:t>
      </w:r>
      <w:r w:rsidR="00B447BB" w:rsidRPr="00322386">
        <w:rPr>
          <w:rFonts w:asciiTheme="majorBidi" w:hAnsiTheme="majorBidi" w:cstheme="majorBidi"/>
          <w:color w:val="000000" w:themeColor="text1"/>
        </w:rPr>
        <w:t>all</w:t>
      </w:r>
      <w:r w:rsidRPr="00322386">
        <w:rPr>
          <w:rFonts w:asciiTheme="majorBidi" w:hAnsiTheme="majorBidi" w:cstheme="majorBidi"/>
          <w:color w:val="000000" w:themeColor="text1"/>
        </w:rPr>
        <w:t xml:space="preserve"> the female variables</w:t>
      </w:r>
      <w:r w:rsidR="00B447BB" w:rsidRPr="00322386">
        <w:rPr>
          <w:rFonts w:asciiTheme="majorBidi" w:hAnsiTheme="majorBidi" w:cstheme="majorBidi"/>
          <w:color w:val="000000" w:themeColor="text1"/>
        </w:rPr>
        <w:t>, t</w:t>
      </w:r>
      <w:r w:rsidRPr="00322386">
        <w:rPr>
          <w:rFonts w:asciiTheme="majorBidi" w:hAnsiTheme="majorBidi" w:cstheme="majorBidi"/>
          <w:color w:val="000000" w:themeColor="text1"/>
        </w:rPr>
        <w:t xml:space="preserve">esting was based on the null hypothesis that males and females experienced </w:t>
      </w:r>
      <w:r w:rsidRPr="00322386">
        <w:rPr>
          <w:rFonts w:asciiTheme="majorBidi" w:hAnsiTheme="majorBidi" w:cstheme="majorBidi"/>
          <w:color w:val="000000" w:themeColor="text1"/>
        </w:rPr>
        <w:lastRenderedPageBreak/>
        <w:t>the same levels of depression. With a p-value of 0.0042 rejected the null hypothesis and led to belief that there was a difference between male and female with females having larger levels of depression.</w:t>
      </w:r>
      <w:r w:rsidR="007B41BF" w:rsidRPr="00322386">
        <w:rPr>
          <w:rFonts w:asciiTheme="majorBidi" w:hAnsiTheme="majorBidi" w:cstheme="majorBidi"/>
          <w:color w:val="000000" w:themeColor="text1"/>
        </w:rPr>
        <w:t xml:space="preserve"> As seen in Figure 3, panel a, males and females began with similar scores but quickly diverged and remained separated throughout.</w:t>
      </w:r>
    </w:p>
    <w:p w14:paraId="1F98638F" w14:textId="77777777" w:rsidR="006D4E60" w:rsidRPr="00322386" w:rsidRDefault="006D4E60">
      <w:pPr>
        <w:jc w:val="both"/>
        <w:rPr>
          <w:rFonts w:asciiTheme="majorBidi" w:hAnsiTheme="majorBidi" w:cstheme="majorBidi"/>
          <w:color w:val="000000" w:themeColor="text1"/>
        </w:rPr>
      </w:pPr>
    </w:p>
    <w:p w14:paraId="34302251" w14:textId="77777777" w:rsidR="006D4E60" w:rsidRPr="00322386" w:rsidRDefault="00063B85">
      <w:pPr>
        <w:ind w:left="720"/>
        <w:jc w:val="both"/>
        <w:rPr>
          <w:rFonts w:asciiTheme="majorBidi" w:hAnsiTheme="majorBidi" w:cstheme="majorBidi"/>
          <w:color w:val="000000" w:themeColor="text1"/>
        </w:rPr>
      </w:pPr>
      <w:r w:rsidRPr="00322386">
        <w:rPr>
          <w:rFonts w:asciiTheme="majorBidi" w:hAnsiTheme="majorBidi" w:cstheme="majorBidi"/>
          <w:i/>
          <w:color w:val="000000" w:themeColor="text1"/>
        </w:rPr>
        <w:t>POMS Vigor</w:t>
      </w:r>
    </w:p>
    <w:p w14:paraId="35A14E33" w14:textId="13447628"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Vigor comparison was done comparing columns of Male data to female data utilizing the Wilcoxon rank sum test, running this test with the null hypothesis that Male and female experienced the same amount of vigor. The low p-value led to a rejection of null hypothesis. The largest separation in sex as seen in figure </w:t>
      </w:r>
      <w:r w:rsidR="007B41BF" w:rsidRPr="00322386">
        <w:rPr>
          <w:rFonts w:asciiTheme="majorBidi" w:hAnsiTheme="majorBidi" w:cstheme="majorBidi"/>
          <w:color w:val="000000" w:themeColor="text1"/>
        </w:rPr>
        <w:t>3, panel b,</w:t>
      </w:r>
      <w:r w:rsidRPr="00322386">
        <w:rPr>
          <w:rFonts w:asciiTheme="majorBidi" w:hAnsiTheme="majorBidi" w:cstheme="majorBidi"/>
          <w:color w:val="000000" w:themeColor="text1"/>
        </w:rPr>
        <w:t xml:space="preserve"> with a p-value much less than 0.001 means a likely a large difference in vigor experienced by each sex. </w:t>
      </w:r>
    </w:p>
    <w:p w14:paraId="0841CD07" w14:textId="77777777" w:rsidR="006D4E60" w:rsidRPr="00322386" w:rsidRDefault="006D4E60">
      <w:pPr>
        <w:jc w:val="both"/>
        <w:rPr>
          <w:rFonts w:asciiTheme="majorBidi" w:hAnsiTheme="majorBidi" w:cstheme="majorBidi"/>
          <w:color w:val="000000" w:themeColor="text1"/>
        </w:rPr>
      </w:pPr>
    </w:p>
    <w:p w14:paraId="5F63387E" w14:textId="77777777" w:rsidR="006D4E60" w:rsidRPr="00322386" w:rsidRDefault="00063B85">
      <w:pPr>
        <w:jc w:val="both"/>
        <w:rPr>
          <w:rFonts w:asciiTheme="majorBidi" w:hAnsiTheme="majorBidi" w:cstheme="majorBidi"/>
          <w: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POMS Tension</w:t>
      </w:r>
    </w:p>
    <w:p w14:paraId="7C7B2764" w14:textId="2127F93C"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Tension also had a high degree of difference between the males and females. This was tested with the Wilcoxon Rank-sum test to yield a p-value much less than 0.001. The null hypothesis tested was if each sex experienced the same level of Tension. With the low p-value calculated we rejected the null hypothesis in favor of the difference between male and female tension experienced as can be seen in figure </w:t>
      </w:r>
      <w:r w:rsidR="007B41BF" w:rsidRPr="00322386">
        <w:rPr>
          <w:rFonts w:asciiTheme="majorBidi" w:hAnsiTheme="majorBidi" w:cstheme="majorBidi"/>
          <w:color w:val="000000" w:themeColor="text1"/>
        </w:rPr>
        <w:t>3, panel c,</w:t>
      </w:r>
      <w:r w:rsidRPr="00322386">
        <w:rPr>
          <w:rFonts w:asciiTheme="majorBidi" w:hAnsiTheme="majorBidi" w:cstheme="majorBidi"/>
          <w:color w:val="000000" w:themeColor="text1"/>
        </w:rPr>
        <w:t xml:space="preserve"> with females staying nearly always above males on all time points. </w:t>
      </w:r>
    </w:p>
    <w:p w14:paraId="1BA31D91" w14:textId="77777777" w:rsidR="006D4E60" w:rsidRPr="00322386" w:rsidRDefault="006D4E60">
      <w:pPr>
        <w:jc w:val="both"/>
        <w:rPr>
          <w:rFonts w:asciiTheme="majorBidi" w:hAnsiTheme="majorBidi" w:cstheme="majorBidi"/>
          <w:color w:val="000000" w:themeColor="text1"/>
        </w:rPr>
      </w:pPr>
    </w:p>
    <w:p w14:paraId="5BB20F6D" w14:textId="77777777" w:rsidR="006D4E60" w:rsidRPr="00322386" w:rsidRDefault="00063B85">
      <w:pPr>
        <w:jc w:val="both"/>
        <w:rPr>
          <w:rFonts w:asciiTheme="majorBidi" w:hAnsiTheme="majorBidi" w:cstheme="majorBidi"/>
          <w: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POMS Fatigue</w:t>
      </w:r>
    </w:p>
    <w:p w14:paraId="5906BAF0" w14:textId="5A0F066B"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Fatigue varied from one sex to the other as well upon testing. Using the Wilcoxon Rank sum test to compare both data sets. We reject the null hypothesis that both male and females experienced the same amount of fatigue. Looking at figure </w:t>
      </w:r>
      <w:r w:rsidR="007B41BF" w:rsidRPr="00322386">
        <w:rPr>
          <w:rFonts w:asciiTheme="majorBidi" w:hAnsiTheme="majorBidi" w:cstheme="majorBidi"/>
          <w:color w:val="000000" w:themeColor="text1"/>
        </w:rPr>
        <w:t xml:space="preserve">3, panel d, we </w:t>
      </w:r>
      <w:r w:rsidRPr="00322386">
        <w:rPr>
          <w:rFonts w:asciiTheme="majorBidi" w:hAnsiTheme="majorBidi" w:cstheme="majorBidi"/>
          <w:color w:val="000000" w:themeColor="text1"/>
        </w:rPr>
        <w:t xml:space="preserve">can see that females tend to have increased median fatigue compared to males over the time period. </w:t>
      </w:r>
    </w:p>
    <w:p w14:paraId="723E6A11" w14:textId="77777777" w:rsidR="006D4E60" w:rsidRPr="00322386" w:rsidRDefault="006D4E60">
      <w:pPr>
        <w:jc w:val="both"/>
        <w:rPr>
          <w:rFonts w:asciiTheme="majorBidi" w:hAnsiTheme="majorBidi" w:cstheme="majorBidi"/>
          <w:color w:val="000000" w:themeColor="text1"/>
        </w:rPr>
      </w:pPr>
    </w:p>
    <w:p w14:paraId="5F78090E" w14:textId="77777777" w:rsidR="006D4E60" w:rsidRPr="00322386" w:rsidRDefault="00063B85">
      <w:pPr>
        <w:ind w:firstLine="720"/>
        <w:jc w:val="both"/>
        <w:rPr>
          <w:rFonts w:asciiTheme="majorBidi" w:hAnsiTheme="majorBidi" w:cstheme="majorBidi"/>
          <w:i/>
          <w:color w:val="000000" w:themeColor="text1"/>
        </w:rPr>
      </w:pPr>
      <w:r w:rsidRPr="00322386">
        <w:rPr>
          <w:rFonts w:asciiTheme="majorBidi" w:hAnsiTheme="majorBidi" w:cstheme="majorBidi"/>
          <w:i/>
          <w:color w:val="000000" w:themeColor="text1"/>
        </w:rPr>
        <w:t>POMS Anger</w:t>
      </w:r>
    </w:p>
    <w:p w14:paraId="1B005A18" w14:textId="065770EE"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Analysis of Anger did not yield statistically significant results after not being able to reject the null hypothesis that both genders experienced the same anger due to p-value greater than 0.05. </w:t>
      </w:r>
    </w:p>
    <w:p w14:paraId="778D15CB" w14:textId="77777777" w:rsidR="006D4E60" w:rsidRPr="00322386" w:rsidRDefault="006D4E60">
      <w:pPr>
        <w:jc w:val="both"/>
        <w:rPr>
          <w:rFonts w:asciiTheme="majorBidi" w:hAnsiTheme="majorBidi" w:cstheme="majorBidi"/>
          <w:color w:val="000000" w:themeColor="text1"/>
        </w:rPr>
      </w:pPr>
    </w:p>
    <w:p w14:paraId="7A8A0D18" w14:textId="77777777" w:rsidR="006D4E60" w:rsidRPr="00322386" w:rsidRDefault="00063B85">
      <w:pPr>
        <w:jc w:val="both"/>
        <w:rPr>
          <w:rFonts w:asciiTheme="majorBidi" w:hAnsiTheme="majorBidi" w:cstheme="majorBidi"/>
          <w:i/>
          <w:color w:val="000000" w:themeColor="text1"/>
        </w:rPr>
      </w:pPr>
      <w:r w:rsidRPr="00322386">
        <w:rPr>
          <w:rFonts w:asciiTheme="majorBidi" w:hAnsiTheme="majorBidi" w:cstheme="majorBidi"/>
          <w:i/>
          <w:color w:val="000000" w:themeColor="text1"/>
        </w:rPr>
        <w:tab/>
        <w:t xml:space="preserve">State Anxiety </w:t>
      </w:r>
    </w:p>
    <w:p w14:paraId="1D2557C5" w14:textId="4F262B49"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State Anxiety comparison led to the likelihood that females experienced higher levels of anxiety than the males, testing all females vs the males with the Wilcoxon rank sum </w:t>
      </w:r>
      <w:proofErr w:type="gramStart"/>
      <w:r w:rsidRPr="00322386">
        <w:rPr>
          <w:rFonts w:asciiTheme="majorBidi" w:hAnsiTheme="majorBidi" w:cstheme="majorBidi"/>
          <w:color w:val="000000" w:themeColor="text1"/>
        </w:rPr>
        <w:t>test  with</w:t>
      </w:r>
      <w:proofErr w:type="gramEnd"/>
      <w:r w:rsidRPr="00322386">
        <w:rPr>
          <w:rFonts w:asciiTheme="majorBidi" w:hAnsiTheme="majorBidi" w:cstheme="majorBidi"/>
          <w:color w:val="000000" w:themeColor="text1"/>
        </w:rPr>
        <w:t xml:space="preserve"> the null hypothesis that </w:t>
      </w:r>
      <w:r w:rsidRPr="00322386">
        <w:rPr>
          <w:rFonts w:asciiTheme="majorBidi" w:hAnsiTheme="majorBidi" w:cstheme="majorBidi"/>
          <w:color w:val="000000" w:themeColor="text1"/>
        </w:rPr>
        <w:t xml:space="preserve">males and females experienced the same levels of anxiety. With the p-value much less than 0.001 we reject the null hypothesis in favor of likelihood that there is a difference between sexes. Looking at figure </w:t>
      </w:r>
      <w:r w:rsidR="007B41BF" w:rsidRPr="00322386">
        <w:rPr>
          <w:rFonts w:asciiTheme="majorBidi" w:hAnsiTheme="majorBidi" w:cstheme="majorBidi"/>
          <w:color w:val="000000" w:themeColor="text1"/>
        </w:rPr>
        <w:t xml:space="preserve">3, panel </w:t>
      </w:r>
      <w:r w:rsidR="001B2ED3" w:rsidRPr="00322386">
        <w:rPr>
          <w:rFonts w:asciiTheme="majorBidi" w:hAnsiTheme="majorBidi" w:cstheme="majorBidi"/>
          <w:color w:val="000000" w:themeColor="text1"/>
        </w:rPr>
        <w:t>e,</w:t>
      </w:r>
      <w:r w:rsidRPr="00322386">
        <w:rPr>
          <w:rFonts w:asciiTheme="majorBidi" w:hAnsiTheme="majorBidi" w:cstheme="majorBidi"/>
          <w:color w:val="000000" w:themeColor="text1"/>
        </w:rPr>
        <w:t xml:space="preserve"> can see that females tended to be higher on nearly all data points.</w:t>
      </w:r>
    </w:p>
    <w:p w14:paraId="3CA4D265" w14:textId="77777777" w:rsidR="006D4E60" w:rsidRPr="00322386" w:rsidRDefault="006D4E60">
      <w:pPr>
        <w:rPr>
          <w:rFonts w:asciiTheme="majorBidi" w:hAnsiTheme="majorBidi" w:cstheme="majorBidi"/>
          <w:color w:val="000000" w:themeColor="text1"/>
        </w:rPr>
      </w:pPr>
    </w:p>
    <w:p w14:paraId="1A283E84" w14:textId="77777777" w:rsidR="006D4E60" w:rsidRPr="00322386" w:rsidRDefault="00063B85">
      <w:pPr>
        <w:ind w:firstLine="720"/>
        <w:rPr>
          <w:rFonts w:asciiTheme="majorBidi" w:hAnsiTheme="majorBidi" w:cstheme="majorBidi"/>
          <w:i/>
          <w:color w:val="000000" w:themeColor="text1"/>
          <w:sz w:val="28"/>
          <w:szCs w:val="28"/>
        </w:rPr>
      </w:pPr>
      <w:r w:rsidRPr="00322386">
        <w:rPr>
          <w:rFonts w:asciiTheme="majorBidi" w:hAnsiTheme="majorBidi" w:cstheme="majorBidi"/>
          <w:i/>
          <w:color w:val="000000" w:themeColor="text1"/>
        </w:rPr>
        <w:t>Physical Activity</w:t>
      </w:r>
    </w:p>
    <w:p w14:paraId="14F30EEB" w14:textId="476754D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After checking the data for parametricity and testing with a Wilcoxon Rank Sum test, a null hypothesis where men and women exercised the same, a p-value of  &lt; 0.001 was returned</w:t>
      </w:r>
      <w:r w:rsidR="008457BD"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As seen in figure </w:t>
      </w:r>
      <w:r w:rsidR="001B2ED3" w:rsidRPr="00322386">
        <w:rPr>
          <w:rFonts w:asciiTheme="majorBidi" w:hAnsiTheme="majorBidi" w:cstheme="majorBidi"/>
          <w:color w:val="000000" w:themeColor="text1"/>
        </w:rPr>
        <w:t xml:space="preserve">3, panel </w:t>
      </w:r>
      <w:proofErr w:type="spellStart"/>
      <w:r w:rsidR="001B2ED3" w:rsidRPr="00322386">
        <w:rPr>
          <w:rFonts w:asciiTheme="majorBidi" w:hAnsiTheme="majorBidi" w:cstheme="majorBidi"/>
          <w:color w:val="000000" w:themeColor="text1"/>
        </w:rPr>
        <w:t>i</w:t>
      </w:r>
      <w:proofErr w:type="spellEnd"/>
      <w:r w:rsidR="001B2ED3" w:rsidRPr="00322386">
        <w:rPr>
          <w:rFonts w:asciiTheme="majorBidi" w:hAnsiTheme="majorBidi" w:cstheme="majorBidi"/>
          <w:color w:val="000000" w:themeColor="text1"/>
        </w:rPr>
        <w:t>,</w:t>
      </w:r>
      <w:r w:rsidRPr="00322386">
        <w:rPr>
          <w:rFonts w:asciiTheme="majorBidi" w:hAnsiTheme="majorBidi" w:cstheme="majorBidi"/>
          <w:color w:val="000000" w:themeColor="text1"/>
        </w:rPr>
        <w:t xml:space="preserve"> we can see that men spent more days of the week engaging in vigorous physical exercise.</w:t>
      </w:r>
    </w:p>
    <w:p w14:paraId="4B90135B" w14:textId="77777777" w:rsidR="006D4E60" w:rsidRPr="00322386" w:rsidRDefault="006D4E60">
      <w:pPr>
        <w:rPr>
          <w:rFonts w:asciiTheme="majorBidi" w:hAnsiTheme="majorBidi" w:cstheme="majorBidi"/>
          <w:color w:val="000000" w:themeColor="text1"/>
        </w:rPr>
      </w:pPr>
    </w:p>
    <w:p w14:paraId="7143568F" w14:textId="3FFCCE92"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The time spent per day of vigorous exercise was tested under the null hypothesis that men and women spent equal amounts of time vigorously exercising</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Returning a p-value of 0.0025 from a Wilcoxon Rank Sum, we reject the null hypothesis and take note that in figure </w:t>
      </w:r>
      <w:r w:rsidR="001B2ED3" w:rsidRPr="00322386">
        <w:rPr>
          <w:rFonts w:asciiTheme="majorBidi" w:hAnsiTheme="majorBidi" w:cstheme="majorBidi"/>
          <w:color w:val="000000" w:themeColor="text1"/>
        </w:rPr>
        <w:t>3</w:t>
      </w:r>
      <w:r w:rsidRPr="00322386">
        <w:rPr>
          <w:rFonts w:asciiTheme="majorBidi" w:hAnsiTheme="majorBidi" w:cstheme="majorBidi"/>
          <w:color w:val="000000" w:themeColor="text1"/>
        </w:rPr>
        <w:t xml:space="preserve">, </w:t>
      </w:r>
      <w:r w:rsidR="001B2ED3" w:rsidRPr="00322386">
        <w:rPr>
          <w:rFonts w:asciiTheme="majorBidi" w:hAnsiTheme="majorBidi" w:cstheme="majorBidi"/>
          <w:color w:val="000000" w:themeColor="text1"/>
        </w:rPr>
        <w:t xml:space="preserve">panel k, </w:t>
      </w:r>
      <w:r w:rsidRPr="00322386">
        <w:rPr>
          <w:rFonts w:asciiTheme="majorBidi" w:hAnsiTheme="majorBidi" w:cstheme="majorBidi"/>
          <w:color w:val="000000" w:themeColor="text1"/>
        </w:rPr>
        <w:t>on days of vigorous exercise men spent more time vigorously exercising.</w:t>
      </w:r>
    </w:p>
    <w:p w14:paraId="3F5C973F" w14:textId="77777777" w:rsidR="006D4E60" w:rsidRPr="00322386" w:rsidRDefault="006D4E60">
      <w:pPr>
        <w:rPr>
          <w:rFonts w:asciiTheme="majorBidi" w:hAnsiTheme="majorBidi" w:cstheme="majorBidi"/>
          <w:color w:val="000000" w:themeColor="text1"/>
        </w:rPr>
      </w:pPr>
    </w:p>
    <w:p w14:paraId="5E2329EC" w14:textId="777777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For a dataset of days spent moderately exercising, the data was tested for parametricity, and a null hypothesis stating men and women spent the same number of days moderately exercising. Using a statistical Wilcoxon Rank Sum test, we report a p-value of 0.4699 and fail to reject the null hypothesis.</w:t>
      </w:r>
    </w:p>
    <w:p w14:paraId="060C1B01" w14:textId="77777777" w:rsidR="006D4E60" w:rsidRPr="00322386" w:rsidRDefault="006D4E60">
      <w:pPr>
        <w:rPr>
          <w:rFonts w:asciiTheme="majorBidi" w:hAnsiTheme="majorBidi" w:cstheme="majorBidi"/>
          <w:color w:val="000000" w:themeColor="text1"/>
        </w:rPr>
      </w:pPr>
    </w:p>
    <w:p w14:paraId="1974A7CB" w14:textId="318BBE74"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The time spent per day of moderate exercise was tested under the null hypothesis that men and women spent equal amounts of time moderately exercising</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Returning a p-value of 0.9476 from a Wilcoxon Rank Sum, we fail to reject the null hypothesis.</w:t>
      </w:r>
    </w:p>
    <w:p w14:paraId="2B55D397" w14:textId="77777777" w:rsidR="006D4E60" w:rsidRPr="00322386" w:rsidRDefault="006D4E60">
      <w:pPr>
        <w:rPr>
          <w:rFonts w:asciiTheme="majorBidi" w:hAnsiTheme="majorBidi" w:cstheme="majorBidi"/>
          <w:color w:val="000000" w:themeColor="text1"/>
        </w:rPr>
      </w:pPr>
    </w:p>
    <w:p w14:paraId="16A30E37" w14:textId="777777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For a dataset of days spent walking, the data was tested for parametricity, a null hypothesis stating men and women spent the same number of days walking, and a statistical Wilcoxon Rank Sum test, we saw a p-value of 1 and failed to reject the null hypothesis.</w:t>
      </w:r>
    </w:p>
    <w:p w14:paraId="08651CF7" w14:textId="77777777" w:rsidR="006D4E60" w:rsidRPr="00322386" w:rsidRDefault="006D4E60">
      <w:pPr>
        <w:rPr>
          <w:rFonts w:asciiTheme="majorBidi" w:hAnsiTheme="majorBidi" w:cstheme="majorBidi"/>
          <w:color w:val="000000" w:themeColor="text1"/>
        </w:rPr>
      </w:pPr>
    </w:p>
    <w:p w14:paraId="2A14E010" w14:textId="3DDF1FD3"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The time spent per day of walking was tested under the null hypothesis that men and women spent equal amounts of time per day walking</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Returning a p value of 0.7928 from a Wilcoxon Rank Sum, we fail to reject the null hypothesis.</w:t>
      </w:r>
    </w:p>
    <w:p w14:paraId="7DE47F5B" w14:textId="77777777" w:rsidR="006D4E60" w:rsidRPr="00322386" w:rsidRDefault="006D4E60">
      <w:pPr>
        <w:rPr>
          <w:rFonts w:asciiTheme="majorBidi" w:hAnsiTheme="majorBidi" w:cstheme="majorBidi"/>
          <w:color w:val="000000" w:themeColor="text1"/>
        </w:rPr>
      </w:pPr>
    </w:p>
    <w:p w14:paraId="41F6B314" w14:textId="2D7A3313"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lastRenderedPageBreak/>
        <w:t>The time spent per day sitting was tested under the null hypothesis that men and women spent equal amounts of time sitting</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Returning a p value of 0.7928 from a Wilcoxon Rank Sum, we fail to reject the null hypothesis.</w:t>
      </w:r>
    </w:p>
    <w:p w14:paraId="3040EB32" w14:textId="77777777" w:rsidR="006D4E60" w:rsidRPr="00322386" w:rsidRDefault="006D4E60">
      <w:pPr>
        <w:rPr>
          <w:rFonts w:asciiTheme="majorBidi" w:hAnsiTheme="majorBidi" w:cstheme="majorBidi"/>
          <w:color w:val="000000" w:themeColor="text1"/>
        </w:rPr>
      </w:pPr>
    </w:p>
    <w:p w14:paraId="458BAA57" w14:textId="717E1519"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Total exercise was tested using a 2-sample t-test on both means and median data</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null hypothesis claimed that both men and women had an equal total exercise value</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However, with returned p-values of 0.0017 for the mean data set and 0.0021 for the median data set, we can safely reject the null hypothesis</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As seen in figure </w:t>
      </w:r>
      <w:r w:rsidR="001B2ED3" w:rsidRPr="00322386">
        <w:rPr>
          <w:rFonts w:asciiTheme="majorBidi" w:hAnsiTheme="majorBidi" w:cstheme="majorBidi"/>
          <w:color w:val="000000" w:themeColor="text1"/>
        </w:rPr>
        <w:t>3, panel j</w:t>
      </w:r>
      <w:r w:rsidRPr="00322386">
        <w:rPr>
          <w:rFonts w:asciiTheme="majorBidi" w:hAnsiTheme="majorBidi" w:cstheme="majorBidi"/>
          <w:color w:val="000000" w:themeColor="text1"/>
        </w:rPr>
        <w:t>, we note that men scored higher on their total exercise value than women.</w:t>
      </w:r>
    </w:p>
    <w:p w14:paraId="1A12A8E5" w14:textId="77777777" w:rsidR="006D4E60" w:rsidRPr="00322386" w:rsidRDefault="006D4E60">
      <w:pPr>
        <w:rPr>
          <w:rFonts w:asciiTheme="majorBidi" w:hAnsiTheme="majorBidi" w:cstheme="majorBidi"/>
          <w:color w:val="000000" w:themeColor="text1"/>
        </w:rPr>
      </w:pPr>
    </w:p>
    <w:p w14:paraId="58E61223" w14:textId="77777777" w:rsidR="006D4E60" w:rsidRPr="00322386" w:rsidRDefault="00063B85">
      <w:pPr>
        <w:rPr>
          <w:rFonts w:asciiTheme="majorBidi" w:hAnsiTheme="majorBidi" w:cstheme="majorBidi"/>
          <w: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Stimulant/Depressant Use</w:t>
      </w:r>
    </w:p>
    <w:p w14:paraId="0D52A45B" w14:textId="777777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As mentioned above, there was insufficient data to run tests as the median respondent did not report any tobacco use.</w:t>
      </w:r>
    </w:p>
    <w:p w14:paraId="3677F028" w14:textId="77777777" w:rsidR="006D4E60" w:rsidRPr="00322386" w:rsidRDefault="006D4E60">
      <w:pPr>
        <w:rPr>
          <w:rFonts w:asciiTheme="majorBidi" w:hAnsiTheme="majorBidi" w:cstheme="majorBidi"/>
          <w:color w:val="000000" w:themeColor="text1"/>
        </w:rPr>
      </w:pPr>
    </w:p>
    <w:p w14:paraId="3244F1BE" w14:textId="7021D84B"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glasses of beer drunk in the last 7 days was tested using a Wilcoxon Rank Sum test with the null hypothesis that men and women drank the same </w:t>
      </w:r>
      <w:r w:rsidR="001B2ED3"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glasses of beer per day</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0.2739 so we fail to reject the null hypothesis.</w:t>
      </w:r>
    </w:p>
    <w:p w14:paraId="19FADD3E" w14:textId="77777777" w:rsidR="006D4E60" w:rsidRPr="00322386" w:rsidRDefault="006D4E60">
      <w:pPr>
        <w:rPr>
          <w:rFonts w:asciiTheme="majorBidi" w:hAnsiTheme="majorBidi" w:cstheme="majorBidi"/>
          <w:i/>
          <w:color w:val="000000" w:themeColor="text1"/>
        </w:rPr>
      </w:pPr>
    </w:p>
    <w:p w14:paraId="4806577C" w14:textId="3AA8D2AA"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glasses of wine drunk in the last 7 days was tested using a Wilcoxon Rank Sum test with the null hypothesis that men and women drank the same </w:t>
      </w:r>
      <w:r w:rsidR="001B2ED3"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glasses of wine per day</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0.2599 so we fail to reject the null hypothesis.</w:t>
      </w:r>
    </w:p>
    <w:p w14:paraId="36570039" w14:textId="77777777" w:rsidR="006D4E60" w:rsidRPr="00322386" w:rsidRDefault="006D4E60">
      <w:pPr>
        <w:rPr>
          <w:rFonts w:asciiTheme="majorBidi" w:hAnsiTheme="majorBidi" w:cstheme="majorBidi"/>
          <w:color w:val="000000" w:themeColor="text1"/>
        </w:rPr>
      </w:pPr>
    </w:p>
    <w:p w14:paraId="42B04BD2" w14:textId="7B4F904F"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glasses of liquor drunk in the last 7 days was tested using a Wilcoxon Rank Sum test with the null hypothesis that men and women drank the same </w:t>
      </w:r>
      <w:r w:rsidR="00005BB6"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glasses of liquor per day</w:t>
      </w:r>
      <w:r w:rsidR="008457BD"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0.0193 so we reject the null hypothesis</w:t>
      </w:r>
      <w:r w:rsidR="001B2ED3"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As seen in figure </w:t>
      </w:r>
      <w:r w:rsidR="001B2ED3" w:rsidRPr="00322386">
        <w:rPr>
          <w:rFonts w:asciiTheme="majorBidi" w:hAnsiTheme="majorBidi" w:cstheme="majorBidi"/>
          <w:color w:val="000000" w:themeColor="text1"/>
        </w:rPr>
        <w:t>3</w:t>
      </w:r>
      <w:r w:rsidRPr="00322386">
        <w:rPr>
          <w:rFonts w:asciiTheme="majorBidi" w:hAnsiTheme="majorBidi" w:cstheme="majorBidi"/>
          <w:color w:val="000000" w:themeColor="text1"/>
        </w:rPr>
        <w:t>,</w:t>
      </w:r>
      <w:r w:rsidR="001B2ED3" w:rsidRPr="00322386">
        <w:rPr>
          <w:rFonts w:asciiTheme="majorBidi" w:hAnsiTheme="majorBidi" w:cstheme="majorBidi"/>
          <w:color w:val="000000" w:themeColor="text1"/>
        </w:rPr>
        <w:t xml:space="preserve"> panel</w:t>
      </w:r>
      <w:r w:rsidR="00005BB6" w:rsidRPr="00322386">
        <w:rPr>
          <w:rFonts w:asciiTheme="majorBidi" w:hAnsiTheme="majorBidi" w:cstheme="majorBidi"/>
          <w:color w:val="000000" w:themeColor="text1"/>
        </w:rPr>
        <w:t xml:space="preserve"> n,</w:t>
      </w:r>
      <w:r w:rsidRPr="00322386">
        <w:rPr>
          <w:rFonts w:asciiTheme="majorBidi" w:hAnsiTheme="majorBidi" w:cstheme="majorBidi"/>
          <w:color w:val="000000" w:themeColor="text1"/>
        </w:rPr>
        <w:t xml:space="preserve"> we note that women are having more glasses of liquor than men.</w:t>
      </w:r>
    </w:p>
    <w:p w14:paraId="00598B37" w14:textId="77777777" w:rsidR="006D4E60" w:rsidRPr="00322386" w:rsidRDefault="006D4E60">
      <w:pPr>
        <w:rPr>
          <w:rFonts w:asciiTheme="majorBidi" w:hAnsiTheme="majorBidi" w:cstheme="majorBidi"/>
          <w:color w:val="000000" w:themeColor="text1"/>
        </w:rPr>
      </w:pPr>
    </w:p>
    <w:p w14:paraId="063E5AE1" w14:textId="25773F4B"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cups of tea drunk in the last 7 days was tested using a Wilcoxon Rank Sum test with the null hypothesis that men and women drank the same </w:t>
      </w:r>
      <w:r w:rsidR="00005BB6"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cups of tea per day</w:t>
      </w:r>
      <w:r w:rsidR="008457BD"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0.6682 so we fail to reject the null hypothesis.</w:t>
      </w:r>
    </w:p>
    <w:p w14:paraId="21312F6D" w14:textId="77777777" w:rsidR="006D4E60" w:rsidRPr="00322386" w:rsidRDefault="006D4E60">
      <w:pPr>
        <w:rPr>
          <w:rFonts w:asciiTheme="majorBidi" w:hAnsiTheme="majorBidi" w:cstheme="majorBidi"/>
          <w:color w:val="000000" w:themeColor="text1"/>
        </w:rPr>
      </w:pPr>
    </w:p>
    <w:p w14:paraId="76F52798" w14:textId="703FF9FC"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cups of coffee drunk in the last 7 days was tested using a Wilcoxon Rank Sum test with the null </w:t>
      </w:r>
      <w:r w:rsidRPr="00322386">
        <w:rPr>
          <w:rFonts w:asciiTheme="majorBidi" w:hAnsiTheme="majorBidi" w:cstheme="majorBidi"/>
          <w:color w:val="000000" w:themeColor="text1"/>
        </w:rPr>
        <w:t xml:space="preserve">hypothesis that men and women drank the same </w:t>
      </w:r>
      <w:r w:rsidR="00005BB6"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cups of coffee per day</w:t>
      </w:r>
      <w:r w:rsidR="008457BD"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0.0031 so we reject the null hypothesis</w:t>
      </w:r>
      <w:r w:rsidR="00005BB6"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As noted in figure </w:t>
      </w:r>
      <w:r w:rsidR="00005BB6" w:rsidRPr="00322386">
        <w:rPr>
          <w:rFonts w:asciiTheme="majorBidi" w:hAnsiTheme="majorBidi" w:cstheme="majorBidi"/>
          <w:color w:val="000000" w:themeColor="text1"/>
        </w:rPr>
        <w:t>3, panel m</w:t>
      </w:r>
      <w:r w:rsidRPr="00322386">
        <w:rPr>
          <w:rFonts w:asciiTheme="majorBidi" w:hAnsiTheme="majorBidi" w:cstheme="majorBidi"/>
          <w:color w:val="000000" w:themeColor="text1"/>
        </w:rPr>
        <w:t>, we see that men drink more cups of coffee than women do.</w:t>
      </w:r>
    </w:p>
    <w:p w14:paraId="35FCF8AE" w14:textId="77777777" w:rsidR="006D4E60" w:rsidRPr="00322386" w:rsidRDefault="006D4E60">
      <w:pPr>
        <w:rPr>
          <w:rFonts w:asciiTheme="majorBidi" w:hAnsiTheme="majorBidi" w:cstheme="majorBidi"/>
          <w:color w:val="000000" w:themeColor="text1"/>
        </w:rPr>
      </w:pPr>
    </w:p>
    <w:p w14:paraId="44DCF038" w14:textId="1F06BD05"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cans of other caffeinated drinks drunk in the last 7 days was tested using a Wilcoxon Rank Sum test with the null hypothesis that men and women drank the same </w:t>
      </w:r>
      <w:r w:rsidR="00005BB6"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cans of caffeinated drinks per day</w:t>
      </w:r>
      <w:r w:rsidR="008457BD"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0.0445 so we reject the null hypothesis</w:t>
      </w:r>
      <w:r w:rsidR="00005BB6"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Seen in figure </w:t>
      </w:r>
      <w:r w:rsidR="00005BB6" w:rsidRPr="00322386">
        <w:rPr>
          <w:rFonts w:asciiTheme="majorBidi" w:hAnsiTheme="majorBidi" w:cstheme="majorBidi"/>
          <w:color w:val="000000" w:themeColor="text1"/>
        </w:rPr>
        <w:t>3, panel l</w:t>
      </w:r>
      <w:r w:rsidRPr="00322386">
        <w:rPr>
          <w:rFonts w:asciiTheme="majorBidi" w:hAnsiTheme="majorBidi" w:cstheme="majorBidi"/>
          <w:color w:val="000000" w:themeColor="text1"/>
        </w:rPr>
        <w:t>, we note that women are drinking more cans of caffeinated drinks than men.</w:t>
      </w:r>
    </w:p>
    <w:p w14:paraId="6AF87958" w14:textId="77777777" w:rsidR="006D4E60" w:rsidRPr="00322386" w:rsidRDefault="006D4E60">
      <w:pPr>
        <w:rPr>
          <w:rFonts w:asciiTheme="majorBidi" w:hAnsiTheme="majorBidi" w:cstheme="majorBidi"/>
          <w:color w:val="000000" w:themeColor="text1"/>
        </w:rPr>
      </w:pPr>
    </w:p>
    <w:p w14:paraId="59541F7A" w14:textId="777777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COVID-19</w:t>
      </w:r>
    </w:p>
    <w:p w14:paraId="0B486490" w14:textId="777777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Many of the COVID related questions did not produce a statistically significant difference between males and females. The only question that produced parametric data was the one that inquired the extent to which they trusted authorities. A 2-tailed t-test was conducted between the means and medians which produced p values of 0.8483 and 0.3252 respectively thus the null hypothesis of no differences between sexes could not be rejected. For all other questions, a Wilcoxon Rank Test was conducted and resulted in p-values greater than 0.05 thus no difference could be concluded between females and men.</w:t>
      </w:r>
    </w:p>
    <w:p w14:paraId="7346A899" w14:textId="77777777" w:rsidR="006D4E60" w:rsidRPr="00322386" w:rsidRDefault="006D4E60">
      <w:pPr>
        <w:rPr>
          <w:rFonts w:asciiTheme="majorBidi" w:hAnsiTheme="majorBidi" w:cstheme="majorBidi"/>
          <w:color w:val="000000" w:themeColor="text1"/>
        </w:rPr>
      </w:pPr>
    </w:p>
    <w:p w14:paraId="78BEEFF0" w14:textId="743961B3"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One difference between females and males was found in the expectancy of the length of the crisis and the perception of the seriousness of the coronavirus threat</w:t>
      </w:r>
      <w:r w:rsidR="00005BB6"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As can be seen in figure </w:t>
      </w:r>
      <w:r w:rsidR="00005BB6" w:rsidRPr="00322386">
        <w:rPr>
          <w:rFonts w:asciiTheme="majorBidi" w:hAnsiTheme="majorBidi" w:cstheme="majorBidi"/>
          <w:color w:val="000000" w:themeColor="text1"/>
        </w:rPr>
        <w:t>3, panel g</w:t>
      </w:r>
      <w:r w:rsidRPr="00322386">
        <w:rPr>
          <w:rFonts w:asciiTheme="majorBidi" w:hAnsiTheme="majorBidi" w:cstheme="majorBidi"/>
          <w:color w:val="000000" w:themeColor="text1"/>
        </w:rPr>
        <w:t>, women were more likely to think the crisis would last long and perceived the coronavirus as a more serious threat.</w:t>
      </w:r>
    </w:p>
    <w:p w14:paraId="5007BBDA" w14:textId="77777777" w:rsidR="006D4E60" w:rsidRPr="00322386" w:rsidRDefault="006D4E60">
      <w:pPr>
        <w:rPr>
          <w:rFonts w:asciiTheme="majorBidi" w:hAnsiTheme="majorBidi" w:cstheme="majorBidi"/>
          <w:color w:val="000000" w:themeColor="text1"/>
        </w:rPr>
      </w:pPr>
    </w:p>
    <w:p w14:paraId="53BE892A" w14:textId="77777777" w:rsidR="006D4E60" w:rsidRPr="00322386" w:rsidRDefault="00063B85">
      <w:pPr>
        <w:ind w:firstLine="720"/>
        <w:rPr>
          <w:rFonts w:asciiTheme="majorBidi" w:hAnsiTheme="majorBidi" w:cstheme="majorBidi"/>
          <w:color w:val="000000" w:themeColor="text1"/>
        </w:rPr>
      </w:pPr>
      <w:r w:rsidRPr="00322386">
        <w:rPr>
          <w:rFonts w:asciiTheme="majorBidi" w:hAnsiTheme="majorBidi" w:cstheme="majorBidi"/>
          <w:i/>
          <w:color w:val="000000" w:themeColor="text1"/>
        </w:rPr>
        <w:t>UCLA Loneliness</w:t>
      </w:r>
    </w:p>
    <w:p w14:paraId="4FA0EA79" w14:textId="5E081F13"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Loneliness was tested both with means and median data</w:t>
      </w:r>
      <w:r w:rsidR="00005BB6"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 null hypothesis claimed that both men and women felt lonely equally. The Wilcoxon </w:t>
      </w:r>
      <w:proofErr w:type="spellStart"/>
      <w:r w:rsidRPr="00322386">
        <w:rPr>
          <w:rFonts w:asciiTheme="majorBidi" w:hAnsiTheme="majorBidi" w:cstheme="majorBidi"/>
          <w:color w:val="000000" w:themeColor="text1"/>
        </w:rPr>
        <w:t>Ranksum</w:t>
      </w:r>
      <w:proofErr w:type="spellEnd"/>
      <w:r w:rsidRPr="00322386">
        <w:rPr>
          <w:rFonts w:asciiTheme="majorBidi" w:hAnsiTheme="majorBidi" w:cstheme="majorBidi"/>
          <w:color w:val="000000" w:themeColor="text1"/>
        </w:rPr>
        <w:t xml:space="preserve"> test returned p values of 0.1486 for the mean data set and 0.0996 for the median data set; this demonstrates the null hypothesis cannot be rejected. The test showed no significant difference between males and females regarding loneliness. </w:t>
      </w:r>
    </w:p>
    <w:p w14:paraId="6B4FF21B" w14:textId="77777777" w:rsidR="006D4E60" w:rsidRPr="00322386" w:rsidRDefault="006D4E60">
      <w:pPr>
        <w:rPr>
          <w:rFonts w:asciiTheme="majorBidi" w:hAnsiTheme="majorBidi" w:cstheme="majorBidi"/>
          <w:color w:val="000000" w:themeColor="text1"/>
        </w:rPr>
      </w:pPr>
    </w:p>
    <w:p w14:paraId="7507E0F4" w14:textId="777777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Sleep Quality</w:t>
      </w:r>
    </w:p>
    <w:p w14:paraId="4A4DE740" w14:textId="36C529C8" w:rsidR="006D4E60" w:rsidRPr="00322386" w:rsidRDefault="00063B85">
      <w:pPr>
        <w:rPr>
          <w:rFonts w:asciiTheme="majorBidi" w:hAnsiTheme="majorBidi" w:cstheme="majorBidi"/>
          <w:i/>
          <w:color w:val="000000" w:themeColor="text1"/>
        </w:rPr>
      </w:pPr>
      <w:r w:rsidRPr="00322386">
        <w:rPr>
          <w:rFonts w:asciiTheme="majorBidi" w:hAnsiTheme="majorBidi" w:cstheme="majorBidi"/>
          <w:color w:val="000000" w:themeColor="text1"/>
        </w:rPr>
        <w:lastRenderedPageBreak/>
        <w:t>The PSQI dataset was tested both with means and median data</w:t>
      </w:r>
      <w:r w:rsidR="00005BB6"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null hypothesis claimed that both men and women have equal sleep quality. The Wilcoxon Rank</w:t>
      </w:r>
      <w:r w:rsidR="00005BB6"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sum test returned p values of less than 0.001 for the mean data set and the median data set; this demonstrates the null hypothesis is rejected. According </w:t>
      </w:r>
      <w:r w:rsidRPr="00322386">
        <w:rPr>
          <w:rFonts w:asciiTheme="majorBidi" w:hAnsiTheme="majorBidi" w:cstheme="majorBidi"/>
          <w:color w:val="000000" w:themeColor="text1"/>
        </w:rPr>
        <w:t xml:space="preserve">to figure </w:t>
      </w:r>
      <w:r w:rsidR="00005BB6" w:rsidRPr="00322386">
        <w:rPr>
          <w:rFonts w:asciiTheme="majorBidi" w:hAnsiTheme="majorBidi" w:cstheme="majorBidi"/>
          <w:color w:val="000000" w:themeColor="text1"/>
        </w:rPr>
        <w:t>3, panel h</w:t>
      </w:r>
      <w:r w:rsidRPr="00322386">
        <w:rPr>
          <w:rFonts w:asciiTheme="majorBidi" w:hAnsiTheme="majorBidi" w:cstheme="majorBidi"/>
          <w:color w:val="000000" w:themeColor="text1"/>
        </w:rPr>
        <w:t xml:space="preserve">, we can see that males seem to have better quality of sleep as demonstrated by lower overall PSQI scores. </w:t>
      </w:r>
    </w:p>
    <w:p w14:paraId="4F9FC4DA" w14:textId="3F4FB909" w:rsidR="000F743D" w:rsidRPr="00322386" w:rsidRDefault="000F743D">
      <w:pPr>
        <w:rPr>
          <w:rFonts w:asciiTheme="majorBidi" w:hAnsiTheme="majorBidi" w:cstheme="majorBidi"/>
          <w:color w:val="000000" w:themeColor="text1"/>
        </w:rPr>
      </w:pPr>
    </w:p>
    <w:p w14:paraId="707A5FF0" w14:textId="1FB13085" w:rsidR="000F743D" w:rsidRPr="00322386" w:rsidRDefault="000F743D">
      <w:pPr>
        <w:rPr>
          <w:rFonts w:asciiTheme="majorBidi" w:hAnsiTheme="majorBidi" w:cstheme="majorBidi"/>
          <w:color w:val="000000" w:themeColor="text1"/>
        </w:rPr>
      </w:pPr>
    </w:p>
    <w:p w14:paraId="3A483010"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noProof/>
          <w:color w:val="000000" w:themeColor="text1"/>
        </w:rPr>
        <w:sectPr w:rsidR="00941CAD" w:rsidRPr="00322386">
          <w:type w:val="continuous"/>
          <w:pgSz w:w="12240" w:h="15840"/>
          <w:pgMar w:top="720" w:right="720" w:bottom="720" w:left="720" w:header="720" w:footer="720" w:gutter="0"/>
          <w:cols w:num="2" w:space="720" w:equalWidth="0">
            <w:col w:w="5040" w:space="720"/>
            <w:col w:w="5040" w:space="0"/>
          </w:cols>
        </w:sectPr>
      </w:pPr>
    </w:p>
    <w:tbl>
      <w:tblPr>
        <w:tblStyle w:val="a"/>
        <w:tblW w:w="10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40"/>
        <w:gridCol w:w="5440"/>
      </w:tblGrid>
      <w:tr w:rsidR="00322386" w:rsidRPr="00322386" w14:paraId="4635520B" w14:textId="77777777" w:rsidTr="00941CAD">
        <w:tc>
          <w:tcPr>
            <w:tcW w:w="5440" w:type="dxa"/>
            <w:shd w:val="clear" w:color="auto" w:fill="auto"/>
            <w:tcMar>
              <w:top w:w="100" w:type="dxa"/>
              <w:left w:w="100" w:type="dxa"/>
              <w:bottom w:w="100" w:type="dxa"/>
              <w:right w:w="100" w:type="dxa"/>
            </w:tcMar>
          </w:tcPr>
          <w:p w14:paraId="43250E6B" w14:textId="024F60FB"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noProof/>
                <w:color w:val="000000" w:themeColor="text1"/>
              </w:rPr>
              <w:t>a</w:t>
            </w:r>
            <w:r w:rsidRPr="00322386">
              <w:rPr>
                <w:rFonts w:asciiTheme="majorBidi" w:hAnsiTheme="majorBidi" w:cstheme="majorBidi"/>
                <w:noProof/>
                <w:color w:val="000000" w:themeColor="text1"/>
              </w:rPr>
              <w:drawing>
                <wp:inline distT="19050" distB="19050" distL="19050" distR="19050" wp14:anchorId="6357C5A6" wp14:editId="25B5E6FF">
                  <wp:extent cx="3162300" cy="1783715"/>
                  <wp:effectExtent l="0" t="0" r="0" b="6985"/>
                  <wp:docPr id="5"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Chart, line chart&#10;&#10;Description automatically generated"/>
                          <pic:cNvPicPr preferRelativeResize="0"/>
                        </pic:nvPicPr>
                        <pic:blipFill>
                          <a:blip r:embed="rId12"/>
                          <a:srcRect/>
                          <a:stretch>
                            <a:fillRect/>
                          </a:stretch>
                        </pic:blipFill>
                        <pic:spPr>
                          <a:xfrm>
                            <a:off x="0" y="0"/>
                            <a:ext cx="3163100" cy="1784166"/>
                          </a:xfrm>
                          <a:prstGeom prst="rect">
                            <a:avLst/>
                          </a:prstGeom>
                          <a:ln/>
                        </pic:spPr>
                      </pic:pic>
                    </a:graphicData>
                  </a:graphic>
                </wp:inline>
              </w:drawing>
            </w:r>
          </w:p>
        </w:tc>
        <w:tc>
          <w:tcPr>
            <w:tcW w:w="5440" w:type="dxa"/>
            <w:shd w:val="clear" w:color="auto" w:fill="auto"/>
            <w:tcMar>
              <w:top w:w="100" w:type="dxa"/>
              <w:left w:w="100" w:type="dxa"/>
              <w:bottom w:w="100" w:type="dxa"/>
              <w:right w:w="100" w:type="dxa"/>
            </w:tcMar>
          </w:tcPr>
          <w:p w14:paraId="7FA709F1"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b</w:t>
            </w:r>
            <w:r w:rsidRPr="00322386">
              <w:rPr>
                <w:rFonts w:asciiTheme="majorBidi" w:hAnsiTheme="majorBidi" w:cstheme="majorBidi"/>
                <w:noProof/>
                <w:color w:val="000000" w:themeColor="text1"/>
              </w:rPr>
              <w:drawing>
                <wp:inline distT="19050" distB="19050" distL="19050" distR="19050" wp14:anchorId="5D46E7DD" wp14:editId="00324CCC">
                  <wp:extent cx="3095625" cy="1792605"/>
                  <wp:effectExtent l="0" t="0" r="9525" b="0"/>
                  <wp:docPr id="7" name="image1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5.png" descr="Chart, line chart&#10;&#10;Description automatically generated"/>
                          <pic:cNvPicPr preferRelativeResize="0"/>
                        </pic:nvPicPr>
                        <pic:blipFill>
                          <a:blip r:embed="rId13"/>
                          <a:srcRect/>
                          <a:stretch>
                            <a:fillRect/>
                          </a:stretch>
                        </pic:blipFill>
                        <pic:spPr>
                          <a:xfrm>
                            <a:off x="0" y="0"/>
                            <a:ext cx="3096487" cy="1793104"/>
                          </a:xfrm>
                          <a:prstGeom prst="rect">
                            <a:avLst/>
                          </a:prstGeom>
                          <a:ln/>
                        </pic:spPr>
                      </pic:pic>
                    </a:graphicData>
                  </a:graphic>
                </wp:inline>
              </w:drawing>
            </w:r>
          </w:p>
        </w:tc>
      </w:tr>
      <w:tr w:rsidR="00322386" w:rsidRPr="00322386" w14:paraId="7BF81426" w14:textId="77777777" w:rsidTr="00941CAD">
        <w:tc>
          <w:tcPr>
            <w:tcW w:w="5440" w:type="dxa"/>
            <w:shd w:val="clear" w:color="auto" w:fill="auto"/>
            <w:tcMar>
              <w:top w:w="100" w:type="dxa"/>
              <w:left w:w="100" w:type="dxa"/>
              <w:bottom w:w="100" w:type="dxa"/>
              <w:right w:w="100" w:type="dxa"/>
            </w:tcMar>
          </w:tcPr>
          <w:p w14:paraId="069954A1"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c</w:t>
            </w:r>
            <w:r w:rsidRPr="00322386">
              <w:rPr>
                <w:rFonts w:asciiTheme="majorBidi" w:hAnsiTheme="majorBidi" w:cstheme="majorBidi"/>
                <w:noProof/>
                <w:color w:val="000000" w:themeColor="text1"/>
              </w:rPr>
              <w:drawing>
                <wp:inline distT="19050" distB="19050" distL="19050" distR="19050" wp14:anchorId="3F2F2D3E" wp14:editId="29404651">
                  <wp:extent cx="3162300" cy="1781810"/>
                  <wp:effectExtent l="0" t="0" r="0" b="8890"/>
                  <wp:docPr id="12" name="image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6.png" descr="Chart, line chart&#10;&#10;Description automatically generated"/>
                          <pic:cNvPicPr preferRelativeResize="0"/>
                        </pic:nvPicPr>
                        <pic:blipFill>
                          <a:blip r:embed="rId14"/>
                          <a:srcRect/>
                          <a:stretch>
                            <a:fillRect/>
                          </a:stretch>
                        </pic:blipFill>
                        <pic:spPr>
                          <a:xfrm>
                            <a:off x="0" y="0"/>
                            <a:ext cx="3162391" cy="1781861"/>
                          </a:xfrm>
                          <a:prstGeom prst="rect">
                            <a:avLst/>
                          </a:prstGeom>
                          <a:ln/>
                        </pic:spPr>
                      </pic:pic>
                    </a:graphicData>
                  </a:graphic>
                </wp:inline>
              </w:drawing>
            </w:r>
          </w:p>
        </w:tc>
        <w:tc>
          <w:tcPr>
            <w:tcW w:w="5440" w:type="dxa"/>
            <w:shd w:val="clear" w:color="auto" w:fill="auto"/>
            <w:tcMar>
              <w:top w:w="100" w:type="dxa"/>
              <w:left w:w="100" w:type="dxa"/>
              <w:bottom w:w="100" w:type="dxa"/>
              <w:right w:w="100" w:type="dxa"/>
            </w:tcMar>
          </w:tcPr>
          <w:p w14:paraId="435055CB"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d</w:t>
            </w:r>
            <w:r w:rsidRPr="00322386">
              <w:rPr>
                <w:rFonts w:asciiTheme="majorBidi" w:hAnsiTheme="majorBidi" w:cstheme="majorBidi"/>
                <w:noProof/>
                <w:color w:val="000000" w:themeColor="text1"/>
              </w:rPr>
              <w:drawing>
                <wp:inline distT="19050" distB="19050" distL="19050" distR="19050" wp14:anchorId="3C264876" wp14:editId="67FFAD16">
                  <wp:extent cx="3133725" cy="1795145"/>
                  <wp:effectExtent l="0" t="0" r="9525" b="0"/>
                  <wp:docPr id="26" name="image28.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8.png" descr="Chart, line chart&#10;&#10;Description automatically generated"/>
                          <pic:cNvPicPr preferRelativeResize="0"/>
                        </pic:nvPicPr>
                        <pic:blipFill>
                          <a:blip r:embed="rId15"/>
                          <a:srcRect/>
                          <a:stretch>
                            <a:fillRect/>
                          </a:stretch>
                        </pic:blipFill>
                        <pic:spPr>
                          <a:xfrm>
                            <a:off x="0" y="0"/>
                            <a:ext cx="3134100" cy="1795360"/>
                          </a:xfrm>
                          <a:prstGeom prst="rect">
                            <a:avLst/>
                          </a:prstGeom>
                          <a:ln/>
                        </pic:spPr>
                      </pic:pic>
                    </a:graphicData>
                  </a:graphic>
                </wp:inline>
              </w:drawing>
            </w:r>
          </w:p>
        </w:tc>
      </w:tr>
      <w:tr w:rsidR="00322386" w:rsidRPr="00322386" w14:paraId="4A781AB9" w14:textId="77777777" w:rsidTr="00941CAD">
        <w:tc>
          <w:tcPr>
            <w:tcW w:w="5440" w:type="dxa"/>
            <w:shd w:val="clear" w:color="auto" w:fill="auto"/>
            <w:tcMar>
              <w:top w:w="100" w:type="dxa"/>
              <w:left w:w="100" w:type="dxa"/>
              <w:bottom w:w="100" w:type="dxa"/>
              <w:right w:w="100" w:type="dxa"/>
            </w:tcMar>
          </w:tcPr>
          <w:p w14:paraId="7729F9FA"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e</w:t>
            </w:r>
            <w:r w:rsidRPr="00322386">
              <w:rPr>
                <w:rFonts w:asciiTheme="majorBidi" w:hAnsiTheme="majorBidi" w:cstheme="majorBidi"/>
                <w:noProof/>
                <w:color w:val="000000" w:themeColor="text1"/>
              </w:rPr>
              <w:drawing>
                <wp:inline distT="19050" distB="19050" distL="19050" distR="19050" wp14:anchorId="3221A760" wp14:editId="3CEDDBAC">
                  <wp:extent cx="3162300" cy="1788160"/>
                  <wp:effectExtent l="0" t="0" r="0" b="2540"/>
                  <wp:docPr id="8" name="image8.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8.png" descr="Chart, line chart&#10;&#10;Description automatically generated"/>
                          <pic:cNvPicPr preferRelativeResize="0"/>
                        </pic:nvPicPr>
                        <pic:blipFill>
                          <a:blip r:embed="rId16"/>
                          <a:srcRect/>
                          <a:stretch>
                            <a:fillRect/>
                          </a:stretch>
                        </pic:blipFill>
                        <pic:spPr>
                          <a:xfrm>
                            <a:off x="0" y="0"/>
                            <a:ext cx="3163306" cy="1788729"/>
                          </a:xfrm>
                          <a:prstGeom prst="rect">
                            <a:avLst/>
                          </a:prstGeom>
                          <a:ln/>
                        </pic:spPr>
                      </pic:pic>
                    </a:graphicData>
                  </a:graphic>
                </wp:inline>
              </w:drawing>
            </w:r>
          </w:p>
        </w:tc>
        <w:tc>
          <w:tcPr>
            <w:tcW w:w="5440" w:type="dxa"/>
            <w:shd w:val="clear" w:color="auto" w:fill="auto"/>
            <w:tcMar>
              <w:top w:w="100" w:type="dxa"/>
              <w:left w:w="100" w:type="dxa"/>
              <w:bottom w:w="100" w:type="dxa"/>
              <w:right w:w="100" w:type="dxa"/>
            </w:tcMar>
          </w:tcPr>
          <w:p w14:paraId="2067D58C"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f</w:t>
            </w:r>
            <w:r w:rsidRPr="00322386">
              <w:rPr>
                <w:rFonts w:asciiTheme="majorBidi" w:hAnsiTheme="majorBidi" w:cstheme="majorBidi"/>
                <w:noProof/>
                <w:color w:val="000000" w:themeColor="text1"/>
              </w:rPr>
              <w:drawing>
                <wp:inline distT="114300" distB="114300" distL="114300" distR="114300" wp14:anchorId="4C44ADCF" wp14:editId="1AF0173F">
                  <wp:extent cx="3219450" cy="1930400"/>
                  <wp:effectExtent l="0" t="0" r="0" b="0"/>
                  <wp:docPr id="27" name="image2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4.png" descr="Chart, line chart&#10;&#10;Description automatically generated"/>
                          <pic:cNvPicPr preferRelativeResize="0"/>
                        </pic:nvPicPr>
                        <pic:blipFill>
                          <a:blip r:embed="rId17"/>
                          <a:srcRect/>
                          <a:stretch>
                            <a:fillRect/>
                          </a:stretch>
                        </pic:blipFill>
                        <pic:spPr>
                          <a:xfrm>
                            <a:off x="0" y="0"/>
                            <a:ext cx="3219450" cy="1930400"/>
                          </a:xfrm>
                          <a:prstGeom prst="rect">
                            <a:avLst/>
                          </a:prstGeom>
                          <a:ln/>
                        </pic:spPr>
                      </pic:pic>
                    </a:graphicData>
                  </a:graphic>
                </wp:inline>
              </w:drawing>
            </w:r>
          </w:p>
        </w:tc>
      </w:tr>
      <w:tr w:rsidR="00322386" w:rsidRPr="00322386" w14:paraId="37B2572D" w14:textId="77777777" w:rsidTr="00D13DEE">
        <w:trPr>
          <w:trHeight w:val="3102"/>
        </w:trPr>
        <w:tc>
          <w:tcPr>
            <w:tcW w:w="5440" w:type="dxa"/>
            <w:shd w:val="clear" w:color="auto" w:fill="auto"/>
            <w:tcMar>
              <w:top w:w="100" w:type="dxa"/>
              <w:left w:w="100" w:type="dxa"/>
              <w:bottom w:w="100" w:type="dxa"/>
              <w:right w:w="100" w:type="dxa"/>
            </w:tcMar>
          </w:tcPr>
          <w:p w14:paraId="7CA61441"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lastRenderedPageBreak/>
              <w:t>g</w:t>
            </w:r>
            <w:r w:rsidRPr="00322386">
              <w:rPr>
                <w:rFonts w:asciiTheme="majorBidi" w:hAnsiTheme="majorBidi" w:cstheme="majorBidi"/>
                <w:noProof/>
                <w:color w:val="000000" w:themeColor="text1"/>
              </w:rPr>
              <w:drawing>
                <wp:inline distT="114300" distB="114300" distL="114300" distR="114300" wp14:anchorId="24E872E0" wp14:editId="290D4BFD">
                  <wp:extent cx="3171825" cy="1854200"/>
                  <wp:effectExtent l="0" t="0" r="9525" b="0"/>
                  <wp:docPr id="23" name="image2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7.png" descr="Chart, line chart&#10;&#10;Description automatically generated"/>
                          <pic:cNvPicPr preferRelativeResize="0"/>
                        </pic:nvPicPr>
                        <pic:blipFill>
                          <a:blip r:embed="rId18"/>
                          <a:srcRect/>
                          <a:stretch>
                            <a:fillRect/>
                          </a:stretch>
                        </pic:blipFill>
                        <pic:spPr>
                          <a:xfrm>
                            <a:off x="0" y="0"/>
                            <a:ext cx="3171825" cy="1854200"/>
                          </a:xfrm>
                          <a:prstGeom prst="rect">
                            <a:avLst/>
                          </a:prstGeom>
                          <a:ln/>
                        </pic:spPr>
                      </pic:pic>
                    </a:graphicData>
                  </a:graphic>
                </wp:inline>
              </w:drawing>
            </w:r>
          </w:p>
        </w:tc>
        <w:tc>
          <w:tcPr>
            <w:tcW w:w="5440" w:type="dxa"/>
            <w:shd w:val="clear" w:color="auto" w:fill="auto"/>
            <w:tcMar>
              <w:top w:w="100" w:type="dxa"/>
              <w:left w:w="100" w:type="dxa"/>
              <w:bottom w:w="100" w:type="dxa"/>
              <w:right w:w="100" w:type="dxa"/>
            </w:tcMar>
          </w:tcPr>
          <w:p w14:paraId="0A63F4C8"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h</w:t>
            </w:r>
            <w:r w:rsidRPr="00322386">
              <w:rPr>
                <w:rFonts w:asciiTheme="majorBidi" w:hAnsiTheme="majorBidi" w:cstheme="majorBidi"/>
                <w:noProof/>
                <w:color w:val="000000" w:themeColor="text1"/>
              </w:rPr>
              <w:drawing>
                <wp:inline distT="19050" distB="19050" distL="19050" distR="19050" wp14:anchorId="03238BCC" wp14:editId="39A95CF7">
                  <wp:extent cx="3171825" cy="1822450"/>
                  <wp:effectExtent l="0" t="0" r="9525" b="6350"/>
                  <wp:docPr id="17" name="image1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0.png" descr="Chart, line chart&#10;&#10;Description automatically generated"/>
                          <pic:cNvPicPr preferRelativeResize="0"/>
                        </pic:nvPicPr>
                        <pic:blipFill>
                          <a:blip r:embed="rId19"/>
                          <a:srcRect/>
                          <a:stretch>
                            <a:fillRect/>
                          </a:stretch>
                        </pic:blipFill>
                        <pic:spPr>
                          <a:xfrm>
                            <a:off x="0" y="0"/>
                            <a:ext cx="3172608" cy="1822900"/>
                          </a:xfrm>
                          <a:prstGeom prst="rect">
                            <a:avLst/>
                          </a:prstGeom>
                          <a:ln/>
                        </pic:spPr>
                      </pic:pic>
                    </a:graphicData>
                  </a:graphic>
                </wp:inline>
              </w:drawing>
            </w:r>
          </w:p>
        </w:tc>
      </w:tr>
      <w:tr w:rsidR="00322386" w:rsidRPr="00322386" w14:paraId="154ECF54" w14:textId="77777777" w:rsidTr="00941CAD">
        <w:tc>
          <w:tcPr>
            <w:tcW w:w="5440" w:type="dxa"/>
            <w:shd w:val="clear" w:color="auto" w:fill="auto"/>
            <w:tcMar>
              <w:top w:w="100" w:type="dxa"/>
              <w:left w:w="100" w:type="dxa"/>
              <w:bottom w:w="100" w:type="dxa"/>
              <w:right w:w="100" w:type="dxa"/>
            </w:tcMar>
          </w:tcPr>
          <w:p w14:paraId="4FC72DDE"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proofErr w:type="spellStart"/>
            <w:r w:rsidRPr="00322386">
              <w:rPr>
                <w:rFonts w:asciiTheme="majorBidi" w:hAnsiTheme="majorBidi" w:cstheme="majorBidi"/>
                <w:color w:val="000000" w:themeColor="text1"/>
              </w:rPr>
              <w:t>i</w:t>
            </w:r>
            <w:proofErr w:type="spellEnd"/>
            <w:r w:rsidRPr="00322386">
              <w:rPr>
                <w:rFonts w:asciiTheme="majorBidi" w:hAnsiTheme="majorBidi" w:cstheme="majorBidi"/>
                <w:noProof/>
                <w:color w:val="000000" w:themeColor="text1"/>
              </w:rPr>
              <w:drawing>
                <wp:inline distT="19050" distB="19050" distL="19050" distR="19050" wp14:anchorId="50B7539F" wp14:editId="6D240C62">
                  <wp:extent cx="3209925" cy="1828800"/>
                  <wp:effectExtent l="0" t="0" r="9525" b="0"/>
                  <wp:docPr id="13" name="image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png" descr="Chart, line chart&#10;&#10;Description automatically generated"/>
                          <pic:cNvPicPr preferRelativeResize="0"/>
                        </pic:nvPicPr>
                        <pic:blipFill>
                          <a:blip r:embed="rId20"/>
                          <a:srcRect/>
                          <a:stretch>
                            <a:fillRect/>
                          </a:stretch>
                        </pic:blipFill>
                        <pic:spPr>
                          <a:xfrm>
                            <a:off x="0" y="0"/>
                            <a:ext cx="3209925" cy="1828800"/>
                          </a:xfrm>
                          <a:prstGeom prst="rect">
                            <a:avLst/>
                          </a:prstGeom>
                          <a:ln/>
                        </pic:spPr>
                      </pic:pic>
                    </a:graphicData>
                  </a:graphic>
                </wp:inline>
              </w:drawing>
            </w:r>
          </w:p>
        </w:tc>
        <w:tc>
          <w:tcPr>
            <w:tcW w:w="5440" w:type="dxa"/>
            <w:shd w:val="clear" w:color="auto" w:fill="auto"/>
            <w:tcMar>
              <w:top w:w="100" w:type="dxa"/>
              <w:left w:w="100" w:type="dxa"/>
              <w:bottom w:w="100" w:type="dxa"/>
              <w:right w:w="100" w:type="dxa"/>
            </w:tcMar>
          </w:tcPr>
          <w:p w14:paraId="2737734B" w14:textId="34D1868F"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j</w:t>
            </w:r>
            <w:r w:rsidRPr="00322386">
              <w:rPr>
                <w:rFonts w:asciiTheme="majorBidi" w:hAnsiTheme="majorBidi" w:cstheme="majorBidi"/>
                <w:noProof/>
                <w:color w:val="000000" w:themeColor="text1"/>
              </w:rPr>
              <w:drawing>
                <wp:inline distT="19050" distB="19050" distL="19050" distR="19050" wp14:anchorId="0F52C27D" wp14:editId="212F8C21">
                  <wp:extent cx="3228975" cy="1917700"/>
                  <wp:effectExtent l="0" t="0" r="9525" b="6350"/>
                  <wp:docPr id="15"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7.png" descr="Chart, line chart&#10;&#10;Description automatically generated"/>
                          <pic:cNvPicPr preferRelativeResize="0"/>
                        </pic:nvPicPr>
                        <pic:blipFill>
                          <a:blip r:embed="rId21"/>
                          <a:srcRect/>
                          <a:stretch>
                            <a:fillRect/>
                          </a:stretch>
                        </pic:blipFill>
                        <pic:spPr>
                          <a:xfrm>
                            <a:off x="0" y="0"/>
                            <a:ext cx="3228975" cy="1917700"/>
                          </a:xfrm>
                          <a:prstGeom prst="rect">
                            <a:avLst/>
                          </a:prstGeom>
                          <a:ln/>
                        </pic:spPr>
                      </pic:pic>
                    </a:graphicData>
                  </a:graphic>
                </wp:inline>
              </w:drawing>
            </w:r>
          </w:p>
        </w:tc>
      </w:tr>
      <w:tr w:rsidR="00322386" w:rsidRPr="00322386" w14:paraId="68A10A15" w14:textId="77777777" w:rsidTr="00941CAD">
        <w:tc>
          <w:tcPr>
            <w:tcW w:w="5440" w:type="dxa"/>
            <w:shd w:val="clear" w:color="auto" w:fill="auto"/>
            <w:tcMar>
              <w:top w:w="100" w:type="dxa"/>
              <w:left w:w="100" w:type="dxa"/>
              <w:bottom w:w="100" w:type="dxa"/>
              <w:right w:w="100" w:type="dxa"/>
            </w:tcMar>
          </w:tcPr>
          <w:p w14:paraId="0B747D25"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k</w:t>
            </w:r>
            <w:r w:rsidRPr="00322386">
              <w:rPr>
                <w:rFonts w:asciiTheme="majorBidi" w:hAnsiTheme="majorBidi" w:cstheme="majorBidi"/>
                <w:noProof/>
                <w:color w:val="000000" w:themeColor="text1"/>
              </w:rPr>
              <w:drawing>
                <wp:inline distT="19050" distB="19050" distL="19050" distR="19050" wp14:anchorId="7D61B24F" wp14:editId="1AD5C80D">
                  <wp:extent cx="3238500" cy="1856105"/>
                  <wp:effectExtent l="0" t="0" r="0" b="0"/>
                  <wp:docPr id="25" name="image2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1.png" descr="Chart, line chart&#10;&#10;Description automatically generated"/>
                          <pic:cNvPicPr preferRelativeResize="0"/>
                        </pic:nvPicPr>
                        <pic:blipFill>
                          <a:blip r:embed="rId22"/>
                          <a:srcRect/>
                          <a:stretch>
                            <a:fillRect/>
                          </a:stretch>
                        </pic:blipFill>
                        <pic:spPr>
                          <a:xfrm>
                            <a:off x="0" y="0"/>
                            <a:ext cx="3239125" cy="1856463"/>
                          </a:xfrm>
                          <a:prstGeom prst="rect">
                            <a:avLst/>
                          </a:prstGeom>
                          <a:ln/>
                        </pic:spPr>
                      </pic:pic>
                    </a:graphicData>
                  </a:graphic>
                </wp:inline>
              </w:drawing>
            </w:r>
          </w:p>
        </w:tc>
        <w:tc>
          <w:tcPr>
            <w:tcW w:w="5440" w:type="dxa"/>
            <w:shd w:val="clear" w:color="auto" w:fill="auto"/>
            <w:tcMar>
              <w:top w:w="100" w:type="dxa"/>
              <w:left w:w="100" w:type="dxa"/>
              <w:bottom w:w="100" w:type="dxa"/>
              <w:right w:w="100" w:type="dxa"/>
            </w:tcMar>
          </w:tcPr>
          <w:p w14:paraId="0EF1ADB1"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l</w:t>
            </w:r>
            <w:r w:rsidRPr="00322386">
              <w:rPr>
                <w:rFonts w:asciiTheme="majorBidi" w:hAnsiTheme="majorBidi" w:cstheme="majorBidi"/>
                <w:noProof/>
                <w:color w:val="000000" w:themeColor="text1"/>
              </w:rPr>
              <w:drawing>
                <wp:inline distT="19050" distB="19050" distL="19050" distR="19050" wp14:anchorId="01A80039" wp14:editId="0DEAC9D2">
                  <wp:extent cx="3200400" cy="1854200"/>
                  <wp:effectExtent l="0" t="0" r="0" b="0"/>
                  <wp:docPr id="19" name="image2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2.png" descr="Chart, line chart&#10;&#10;Description automatically generated"/>
                          <pic:cNvPicPr preferRelativeResize="0"/>
                        </pic:nvPicPr>
                        <pic:blipFill>
                          <a:blip r:embed="rId23"/>
                          <a:srcRect/>
                          <a:stretch>
                            <a:fillRect/>
                          </a:stretch>
                        </pic:blipFill>
                        <pic:spPr>
                          <a:xfrm>
                            <a:off x="0" y="0"/>
                            <a:ext cx="3200400" cy="1854200"/>
                          </a:xfrm>
                          <a:prstGeom prst="rect">
                            <a:avLst/>
                          </a:prstGeom>
                          <a:ln/>
                        </pic:spPr>
                      </pic:pic>
                    </a:graphicData>
                  </a:graphic>
                </wp:inline>
              </w:drawing>
            </w:r>
          </w:p>
        </w:tc>
      </w:tr>
      <w:tr w:rsidR="00941CAD" w:rsidRPr="00322386" w14:paraId="076EB9F8" w14:textId="77777777" w:rsidTr="00941CAD">
        <w:tc>
          <w:tcPr>
            <w:tcW w:w="5440" w:type="dxa"/>
            <w:shd w:val="clear" w:color="auto" w:fill="auto"/>
            <w:tcMar>
              <w:top w:w="100" w:type="dxa"/>
              <w:left w:w="100" w:type="dxa"/>
              <w:bottom w:w="100" w:type="dxa"/>
              <w:right w:w="100" w:type="dxa"/>
            </w:tcMar>
          </w:tcPr>
          <w:p w14:paraId="050CBCF8" w14:textId="77777777" w:rsidR="00941CAD" w:rsidRPr="00322386" w:rsidRDefault="00941CAD" w:rsidP="00E16365">
            <w:pPr>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m</w:t>
            </w:r>
            <w:r w:rsidRPr="00322386">
              <w:rPr>
                <w:rFonts w:asciiTheme="majorBidi" w:hAnsiTheme="majorBidi" w:cstheme="majorBidi"/>
                <w:noProof/>
                <w:color w:val="000000" w:themeColor="text1"/>
              </w:rPr>
              <w:drawing>
                <wp:inline distT="19050" distB="19050" distL="19050" distR="19050" wp14:anchorId="6D71880C" wp14:editId="64CD251F">
                  <wp:extent cx="3181350" cy="1758315"/>
                  <wp:effectExtent l="0" t="0" r="0" b="0"/>
                  <wp:docPr id="22" name="image2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0.png" descr="Chart, line chart&#10;&#10;Description automatically generated"/>
                          <pic:cNvPicPr preferRelativeResize="0"/>
                        </pic:nvPicPr>
                        <pic:blipFill>
                          <a:blip r:embed="rId24"/>
                          <a:srcRect/>
                          <a:stretch>
                            <a:fillRect/>
                          </a:stretch>
                        </pic:blipFill>
                        <pic:spPr>
                          <a:xfrm>
                            <a:off x="0" y="0"/>
                            <a:ext cx="3181917" cy="1758628"/>
                          </a:xfrm>
                          <a:prstGeom prst="rect">
                            <a:avLst/>
                          </a:prstGeom>
                          <a:ln/>
                        </pic:spPr>
                      </pic:pic>
                    </a:graphicData>
                  </a:graphic>
                </wp:inline>
              </w:drawing>
            </w:r>
          </w:p>
        </w:tc>
        <w:tc>
          <w:tcPr>
            <w:tcW w:w="5440" w:type="dxa"/>
            <w:shd w:val="clear" w:color="auto" w:fill="auto"/>
            <w:tcMar>
              <w:top w:w="100" w:type="dxa"/>
              <w:left w:w="100" w:type="dxa"/>
              <w:bottom w:w="100" w:type="dxa"/>
              <w:right w:w="100" w:type="dxa"/>
            </w:tcMar>
          </w:tcPr>
          <w:p w14:paraId="54BA3ACD" w14:textId="77777777" w:rsidR="00941CAD" w:rsidRPr="00322386" w:rsidRDefault="00941CAD" w:rsidP="00941CAD">
            <w:pPr>
              <w:keepNext/>
              <w:widowControl w:val="0"/>
              <w:pBdr>
                <w:top w:val="nil"/>
                <w:left w:val="nil"/>
                <w:bottom w:val="nil"/>
                <w:right w:val="nil"/>
                <w:between w:val="nil"/>
              </w:pBdr>
              <w:spacing w:line="240" w:lineRule="auto"/>
              <w:rPr>
                <w:rFonts w:asciiTheme="majorBidi" w:hAnsiTheme="majorBidi" w:cstheme="majorBidi"/>
                <w:color w:val="000000" w:themeColor="text1"/>
              </w:rPr>
            </w:pPr>
            <w:r w:rsidRPr="00322386">
              <w:rPr>
                <w:rFonts w:asciiTheme="majorBidi" w:hAnsiTheme="majorBidi" w:cstheme="majorBidi"/>
                <w:color w:val="000000" w:themeColor="text1"/>
              </w:rPr>
              <w:t>n</w:t>
            </w:r>
            <w:r w:rsidRPr="00322386">
              <w:rPr>
                <w:rFonts w:asciiTheme="majorBidi" w:hAnsiTheme="majorBidi" w:cstheme="majorBidi"/>
                <w:noProof/>
                <w:color w:val="000000" w:themeColor="text1"/>
              </w:rPr>
              <w:drawing>
                <wp:inline distT="19050" distB="19050" distL="19050" distR="19050" wp14:anchorId="57918E64" wp14:editId="671E6C3A">
                  <wp:extent cx="3181350" cy="1822450"/>
                  <wp:effectExtent l="0" t="0" r="0" b="6350"/>
                  <wp:docPr id="6" name="image1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3.png" descr="Chart, line chart&#10;&#10;Description automatically generated"/>
                          <pic:cNvPicPr preferRelativeResize="0"/>
                        </pic:nvPicPr>
                        <pic:blipFill>
                          <a:blip r:embed="rId25"/>
                          <a:srcRect/>
                          <a:stretch>
                            <a:fillRect/>
                          </a:stretch>
                        </pic:blipFill>
                        <pic:spPr>
                          <a:xfrm>
                            <a:off x="0" y="0"/>
                            <a:ext cx="3182047" cy="1822849"/>
                          </a:xfrm>
                          <a:prstGeom prst="rect">
                            <a:avLst/>
                          </a:prstGeom>
                          <a:ln/>
                        </pic:spPr>
                      </pic:pic>
                    </a:graphicData>
                  </a:graphic>
                </wp:inline>
              </w:drawing>
            </w:r>
          </w:p>
        </w:tc>
      </w:tr>
    </w:tbl>
    <w:p w14:paraId="4C4923BE" w14:textId="77777777" w:rsidR="00741553" w:rsidRPr="00322386" w:rsidRDefault="00741553" w:rsidP="00741553">
      <w:pPr>
        <w:pStyle w:val="Caption"/>
        <w:rPr>
          <w:rFonts w:asciiTheme="majorBidi" w:hAnsiTheme="majorBidi" w:cstheme="majorBidi"/>
          <w:color w:val="000000" w:themeColor="text1"/>
        </w:rPr>
        <w:sectPr w:rsidR="00741553" w:rsidRPr="00322386" w:rsidSect="00741553">
          <w:type w:val="continuous"/>
          <w:pgSz w:w="12240" w:h="15840"/>
          <w:pgMar w:top="720" w:right="720" w:bottom="720" w:left="720" w:header="720" w:footer="720" w:gutter="0"/>
          <w:cols w:space="720"/>
        </w:sectPr>
      </w:pPr>
    </w:p>
    <w:p w14:paraId="5026E3B1" w14:textId="0A35C812" w:rsidR="00601980" w:rsidRPr="00322386" w:rsidRDefault="00941CAD" w:rsidP="00741553">
      <w:pPr>
        <w:pStyle w:val="Caption"/>
        <w:rPr>
          <w:rFonts w:asciiTheme="majorBidi" w:hAnsiTheme="majorBidi" w:cstheme="majorBidi"/>
          <w:color w:val="000000" w:themeColor="text1"/>
        </w:rPr>
      </w:pPr>
      <w:r w:rsidRPr="00322386">
        <w:rPr>
          <w:rFonts w:asciiTheme="majorBidi" w:hAnsiTheme="majorBidi" w:cstheme="majorBidi"/>
          <w:color w:val="000000" w:themeColor="text1"/>
        </w:rPr>
        <w:t xml:space="preserve">Figure </w:t>
      </w:r>
      <w:r w:rsidR="00D35890" w:rsidRPr="00322386">
        <w:rPr>
          <w:rFonts w:asciiTheme="majorBidi" w:hAnsiTheme="majorBidi" w:cstheme="majorBidi"/>
          <w:color w:val="000000" w:themeColor="text1"/>
        </w:rPr>
        <w:fldChar w:fldCharType="begin"/>
      </w:r>
      <w:r w:rsidR="00D35890" w:rsidRPr="00322386">
        <w:rPr>
          <w:rFonts w:asciiTheme="majorBidi" w:hAnsiTheme="majorBidi" w:cstheme="majorBidi"/>
          <w:color w:val="000000" w:themeColor="text1"/>
        </w:rPr>
        <w:instrText xml:space="preserve"> SEQ Figure \* ARABIC </w:instrText>
      </w:r>
      <w:r w:rsidR="00D35890" w:rsidRPr="00322386">
        <w:rPr>
          <w:rFonts w:asciiTheme="majorBidi" w:hAnsiTheme="majorBidi" w:cstheme="majorBidi"/>
          <w:color w:val="000000" w:themeColor="text1"/>
        </w:rPr>
        <w:fldChar w:fldCharType="separate"/>
      </w:r>
      <w:r w:rsidR="00C13A12" w:rsidRPr="00322386">
        <w:rPr>
          <w:rFonts w:asciiTheme="majorBidi" w:hAnsiTheme="majorBidi" w:cstheme="majorBidi"/>
          <w:noProof/>
          <w:color w:val="000000" w:themeColor="text1"/>
        </w:rPr>
        <w:t>3</w:t>
      </w:r>
      <w:r w:rsidR="00D35890" w:rsidRPr="00322386">
        <w:rPr>
          <w:rFonts w:asciiTheme="majorBidi" w:hAnsiTheme="majorBidi" w:cstheme="majorBidi"/>
          <w:noProof/>
          <w:color w:val="000000" w:themeColor="text1"/>
        </w:rPr>
        <w:fldChar w:fldCharType="end"/>
      </w:r>
      <w:r w:rsidRPr="00322386">
        <w:rPr>
          <w:rFonts w:asciiTheme="majorBidi" w:hAnsiTheme="majorBidi" w:cstheme="majorBidi"/>
          <w:color w:val="000000" w:themeColor="text1"/>
        </w:rPr>
        <w:t xml:space="preserve"> : Comparisons of male (blue lines) and female (pink lines) respondent</w:t>
      </w:r>
      <w:r w:rsidR="007B41BF" w:rsidRPr="00322386">
        <w:rPr>
          <w:rFonts w:asciiTheme="majorBidi" w:hAnsiTheme="majorBidi" w:cstheme="majorBidi"/>
          <w:color w:val="000000" w:themeColor="text1"/>
        </w:rPr>
        <w:t xml:space="preserve"> means (with SE)</w:t>
      </w:r>
      <w:r w:rsidRPr="00322386">
        <w:rPr>
          <w:rFonts w:asciiTheme="majorBidi" w:hAnsiTheme="majorBidi" w:cstheme="majorBidi"/>
          <w:color w:val="000000" w:themeColor="text1"/>
        </w:rPr>
        <w:t xml:space="preserve"> over time</w:t>
      </w:r>
      <w:r w:rsidR="008F452A" w:rsidRPr="00322386">
        <w:rPr>
          <w:rFonts w:asciiTheme="majorBidi" w:hAnsiTheme="majorBidi" w:cstheme="majorBidi"/>
          <w:color w:val="000000" w:themeColor="text1"/>
        </w:rPr>
        <w:t xml:space="preserve"> (x-axis, listed by week with the initial survey as ‘0’)</w:t>
      </w:r>
      <w:r w:rsidRPr="00322386">
        <w:rPr>
          <w:rFonts w:asciiTheme="majorBidi" w:hAnsiTheme="majorBidi" w:cstheme="majorBidi"/>
          <w:color w:val="000000" w:themeColor="text1"/>
        </w:rPr>
        <w:t xml:space="preserve">. Dashed lines represent medians. </w:t>
      </w:r>
      <w:r w:rsidR="007B41BF" w:rsidRPr="00322386">
        <w:rPr>
          <w:rFonts w:asciiTheme="majorBidi" w:hAnsiTheme="majorBidi" w:cstheme="majorBidi"/>
          <w:color w:val="000000" w:themeColor="text1"/>
        </w:rPr>
        <w:t xml:space="preserve">Panels are </w:t>
      </w:r>
      <w:r w:rsidR="007B41BF" w:rsidRPr="00322386">
        <w:rPr>
          <w:rFonts w:asciiTheme="majorBidi" w:hAnsiTheme="majorBidi" w:cstheme="majorBidi"/>
          <w:color w:val="000000" w:themeColor="text1"/>
        </w:rPr>
        <w:t>titled. Yes, they can be hard to read…but we spent so long trying to get this right…</w:t>
      </w:r>
      <w:bookmarkStart w:id="17" w:name="_1h803uq2e38x" w:colFirst="0" w:colLast="0"/>
      <w:bookmarkEnd w:id="17"/>
      <w:r w:rsidR="00063B85" w:rsidRPr="00322386">
        <w:rPr>
          <w:rFonts w:asciiTheme="majorBidi" w:hAnsiTheme="majorBidi" w:cstheme="majorBidi"/>
          <w:color w:val="000000" w:themeColor="text1"/>
        </w:rPr>
        <w:tab/>
      </w:r>
    </w:p>
    <w:p w14:paraId="7DCC0C54" w14:textId="75A4D907" w:rsidR="006D4E60" w:rsidRPr="00322386" w:rsidRDefault="00063B85" w:rsidP="00601980">
      <w:pPr>
        <w:pStyle w:val="Heading3"/>
        <w:ind w:firstLine="720"/>
        <w:rPr>
          <w:rFonts w:asciiTheme="majorBidi" w:hAnsiTheme="majorBidi" w:cstheme="majorBidi"/>
          <w:color w:val="000000" w:themeColor="text1"/>
        </w:rPr>
      </w:pPr>
      <w:r w:rsidRPr="00322386">
        <w:rPr>
          <w:rFonts w:asciiTheme="majorBidi" w:hAnsiTheme="majorBidi" w:cstheme="majorBidi"/>
          <w:color w:val="000000" w:themeColor="text1"/>
        </w:rPr>
        <w:lastRenderedPageBreak/>
        <w:t>The Effect of Others</w:t>
      </w:r>
    </w:p>
    <w:p w14:paraId="1801FFC2" w14:textId="3404149A"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Respondents reported the number of other people living in their home</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For the purposes of this comparison, those living with no other people were given a score of 0, and those living with any other people (adults or children) were given a score of 1. Table </w:t>
      </w:r>
      <w:r w:rsidR="00665550" w:rsidRPr="00322386">
        <w:rPr>
          <w:rFonts w:asciiTheme="majorBidi" w:hAnsiTheme="majorBidi" w:cstheme="majorBidi"/>
          <w:color w:val="000000" w:themeColor="text1"/>
        </w:rPr>
        <w:t>3</w:t>
      </w:r>
      <w:r w:rsidRPr="00322386">
        <w:rPr>
          <w:rFonts w:asciiTheme="majorBidi" w:hAnsiTheme="majorBidi" w:cstheme="majorBidi"/>
          <w:color w:val="000000" w:themeColor="text1"/>
        </w:rPr>
        <w:t xml:space="preserve"> summarizes the results of ALONE comparisons across all time points, and Figure </w:t>
      </w:r>
      <w:r w:rsidR="00665550" w:rsidRPr="00322386">
        <w:rPr>
          <w:rFonts w:asciiTheme="majorBidi" w:hAnsiTheme="majorBidi" w:cstheme="majorBidi"/>
          <w:color w:val="000000" w:themeColor="text1"/>
        </w:rPr>
        <w:t xml:space="preserve">4 </w:t>
      </w:r>
      <w:r w:rsidRPr="00322386">
        <w:rPr>
          <w:rFonts w:asciiTheme="majorBidi" w:hAnsiTheme="majorBidi" w:cstheme="majorBidi"/>
          <w:color w:val="000000" w:themeColor="text1"/>
        </w:rPr>
        <w:t>displays any detected differences at each time point of the survey</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However, 2-ways analyses of variance for ALONE x TIME were not conducted for this paper</w:t>
      </w:r>
      <w:r w:rsidR="00941CAD" w:rsidRPr="00322386">
        <w:rPr>
          <w:rFonts w:asciiTheme="majorBidi" w:hAnsiTheme="majorBidi" w:cstheme="majorBidi"/>
          <w:color w:val="000000" w:themeColor="text1"/>
        </w:rPr>
        <w:t>, nor are they SI-adjusted.</w:t>
      </w:r>
    </w:p>
    <w:p w14:paraId="1FBD7817" w14:textId="77777777" w:rsidR="006D4E60" w:rsidRPr="00322386" w:rsidRDefault="006D4E60">
      <w:pPr>
        <w:rPr>
          <w:rFonts w:asciiTheme="majorBidi" w:hAnsiTheme="majorBidi" w:cstheme="majorBidi"/>
          <w:color w:val="000000" w:themeColor="text1"/>
        </w:rPr>
      </w:pPr>
    </w:p>
    <w:p w14:paraId="382D0D9C" w14:textId="260E4880" w:rsidR="00005BB6" w:rsidRPr="00322386" w:rsidRDefault="00005BB6" w:rsidP="00005BB6">
      <w:pPr>
        <w:pStyle w:val="Caption"/>
        <w:keepNext/>
        <w:rPr>
          <w:rFonts w:asciiTheme="majorBidi" w:hAnsiTheme="majorBidi" w:cstheme="majorBidi"/>
          <w:color w:val="000000" w:themeColor="text1"/>
        </w:rPr>
      </w:pPr>
      <w:r w:rsidRPr="00322386">
        <w:rPr>
          <w:rFonts w:asciiTheme="majorBidi" w:hAnsiTheme="majorBidi" w:cstheme="majorBidi"/>
          <w:color w:val="000000" w:themeColor="text1"/>
        </w:rPr>
        <w:t xml:space="preserve">Table </w:t>
      </w:r>
      <w:r w:rsidR="00D35890" w:rsidRPr="00322386">
        <w:rPr>
          <w:rFonts w:asciiTheme="majorBidi" w:hAnsiTheme="majorBidi" w:cstheme="majorBidi"/>
          <w:color w:val="000000" w:themeColor="text1"/>
        </w:rPr>
        <w:fldChar w:fldCharType="begin"/>
      </w:r>
      <w:r w:rsidR="00D35890" w:rsidRPr="00322386">
        <w:rPr>
          <w:rFonts w:asciiTheme="majorBidi" w:hAnsiTheme="majorBidi" w:cstheme="majorBidi"/>
          <w:color w:val="000000" w:themeColor="text1"/>
        </w:rPr>
        <w:instrText xml:space="preserve"> SEQ Table \* ARABIC </w:instrText>
      </w:r>
      <w:r w:rsidR="00D35890" w:rsidRPr="00322386">
        <w:rPr>
          <w:rFonts w:asciiTheme="majorBidi" w:hAnsiTheme="majorBidi" w:cstheme="majorBidi"/>
          <w:color w:val="000000" w:themeColor="text1"/>
        </w:rPr>
        <w:fldChar w:fldCharType="separate"/>
      </w:r>
      <w:r w:rsidRPr="00322386">
        <w:rPr>
          <w:rFonts w:asciiTheme="majorBidi" w:hAnsiTheme="majorBidi" w:cstheme="majorBidi"/>
          <w:noProof/>
          <w:color w:val="000000" w:themeColor="text1"/>
        </w:rPr>
        <w:t>3</w:t>
      </w:r>
      <w:r w:rsidR="00D35890" w:rsidRPr="00322386">
        <w:rPr>
          <w:rFonts w:asciiTheme="majorBidi" w:hAnsiTheme="majorBidi" w:cstheme="majorBidi"/>
          <w:noProof/>
          <w:color w:val="000000" w:themeColor="text1"/>
        </w:rPr>
        <w:fldChar w:fldCharType="end"/>
      </w:r>
      <w:r w:rsidRPr="00322386">
        <w:rPr>
          <w:rFonts w:asciiTheme="majorBidi" w:hAnsiTheme="majorBidi" w:cstheme="majorBidi"/>
          <w:color w:val="000000" w:themeColor="text1"/>
        </w:rPr>
        <w:t xml:space="preserve"> : Comparison of central tendency by alone score at all collected time points.</w:t>
      </w:r>
    </w:p>
    <w:tbl>
      <w:tblPr>
        <w:tblStyle w:val="a1"/>
        <w:tblW w:w="4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325"/>
        <w:gridCol w:w="1215"/>
      </w:tblGrid>
      <w:tr w:rsidR="00322386" w:rsidRPr="00322386" w14:paraId="43521A12" w14:textId="77777777">
        <w:tc>
          <w:tcPr>
            <w:tcW w:w="1440" w:type="dxa"/>
            <w:shd w:val="clear" w:color="auto" w:fill="CCCCCC"/>
            <w:tcMar>
              <w:top w:w="100" w:type="dxa"/>
              <w:left w:w="100" w:type="dxa"/>
              <w:bottom w:w="100" w:type="dxa"/>
              <w:right w:w="100" w:type="dxa"/>
            </w:tcMar>
          </w:tcPr>
          <w:p w14:paraId="42B4D030" w14:textId="77777777" w:rsidR="006D4E60" w:rsidRPr="00322386" w:rsidRDefault="00063B85">
            <w:pPr>
              <w:widowControl w:val="0"/>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Measure</w:t>
            </w:r>
          </w:p>
        </w:tc>
        <w:tc>
          <w:tcPr>
            <w:tcW w:w="2325" w:type="dxa"/>
            <w:shd w:val="clear" w:color="auto" w:fill="CCCCCC"/>
            <w:tcMar>
              <w:top w:w="100" w:type="dxa"/>
              <w:left w:w="100" w:type="dxa"/>
              <w:bottom w:w="100" w:type="dxa"/>
              <w:right w:w="100" w:type="dxa"/>
            </w:tcMar>
          </w:tcPr>
          <w:p w14:paraId="2DA3A65E" w14:textId="77777777" w:rsidR="006D4E60" w:rsidRPr="00322386" w:rsidRDefault="00063B85">
            <w:pPr>
              <w:widowControl w:val="0"/>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Test Used</w:t>
            </w:r>
          </w:p>
        </w:tc>
        <w:tc>
          <w:tcPr>
            <w:tcW w:w="1215" w:type="dxa"/>
            <w:shd w:val="clear" w:color="auto" w:fill="CCCCCC"/>
            <w:tcMar>
              <w:top w:w="100" w:type="dxa"/>
              <w:left w:w="100" w:type="dxa"/>
              <w:bottom w:w="100" w:type="dxa"/>
              <w:right w:w="100" w:type="dxa"/>
            </w:tcMar>
          </w:tcPr>
          <w:p w14:paraId="7A323152" w14:textId="77777777" w:rsidR="006D4E60" w:rsidRPr="00322386" w:rsidRDefault="00063B85">
            <w:pPr>
              <w:widowControl w:val="0"/>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Result</w:t>
            </w:r>
          </w:p>
          <w:p w14:paraId="729B1A6F" w14:textId="77777777" w:rsidR="006D4E60" w:rsidRPr="00322386" w:rsidRDefault="00063B85">
            <w:pPr>
              <w:widowControl w:val="0"/>
              <w:spacing w:line="240" w:lineRule="auto"/>
              <w:rPr>
                <w:rFonts w:asciiTheme="majorBidi" w:hAnsiTheme="majorBidi" w:cstheme="majorBidi"/>
                <w:b/>
                <w:color w:val="000000" w:themeColor="text1"/>
                <w:sz w:val="18"/>
                <w:szCs w:val="18"/>
              </w:rPr>
            </w:pPr>
            <w:r w:rsidRPr="00322386">
              <w:rPr>
                <w:rFonts w:asciiTheme="majorBidi" w:hAnsiTheme="majorBidi" w:cstheme="majorBidi"/>
                <w:b/>
                <w:color w:val="000000" w:themeColor="text1"/>
                <w:sz w:val="18"/>
                <w:szCs w:val="18"/>
              </w:rPr>
              <w:t>(p-value)</w:t>
            </w:r>
          </w:p>
        </w:tc>
      </w:tr>
      <w:tr w:rsidR="00322386" w:rsidRPr="00322386" w14:paraId="06C3F36D" w14:textId="77777777">
        <w:tc>
          <w:tcPr>
            <w:tcW w:w="1440" w:type="dxa"/>
            <w:shd w:val="clear" w:color="auto" w:fill="auto"/>
            <w:tcMar>
              <w:top w:w="100" w:type="dxa"/>
              <w:left w:w="100" w:type="dxa"/>
              <w:bottom w:w="100" w:type="dxa"/>
              <w:right w:w="100" w:type="dxa"/>
            </w:tcMar>
          </w:tcPr>
          <w:p w14:paraId="3FBF0738"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Loneliness</w:t>
            </w:r>
          </w:p>
        </w:tc>
        <w:tc>
          <w:tcPr>
            <w:tcW w:w="2325" w:type="dxa"/>
            <w:shd w:val="clear" w:color="auto" w:fill="auto"/>
            <w:tcMar>
              <w:top w:w="100" w:type="dxa"/>
              <w:left w:w="100" w:type="dxa"/>
              <w:bottom w:w="100" w:type="dxa"/>
              <w:right w:w="100" w:type="dxa"/>
            </w:tcMar>
          </w:tcPr>
          <w:p w14:paraId="1E84D1A7"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Wilcoxon Rank-Sum</w:t>
            </w:r>
          </w:p>
        </w:tc>
        <w:tc>
          <w:tcPr>
            <w:tcW w:w="1215" w:type="dxa"/>
            <w:shd w:val="clear" w:color="auto" w:fill="auto"/>
            <w:tcMar>
              <w:top w:w="100" w:type="dxa"/>
              <w:left w:w="100" w:type="dxa"/>
              <w:bottom w:w="100" w:type="dxa"/>
              <w:right w:w="100" w:type="dxa"/>
            </w:tcMar>
          </w:tcPr>
          <w:p w14:paraId="686BB321" w14:textId="77777777" w:rsidR="006D4E60" w:rsidRPr="00322386" w:rsidRDefault="00063B85">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0.0018</w:t>
            </w:r>
          </w:p>
        </w:tc>
      </w:tr>
      <w:tr w:rsidR="00322386" w:rsidRPr="00322386" w14:paraId="57D4AF4A" w14:textId="77777777">
        <w:trPr>
          <w:trHeight w:val="431"/>
        </w:trPr>
        <w:tc>
          <w:tcPr>
            <w:tcW w:w="1440" w:type="dxa"/>
            <w:shd w:val="clear" w:color="auto" w:fill="auto"/>
            <w:tcMar>
              <w:top w:w="100" w:type="dxa"/>
              <w:left w:w="100" w:type="dxa"/>
              <w:bottom w:w="100" w:type="dxa"/>
              <w:right w:w="100" w:type="dxa"/>
            </w:tcMar>
          </w:tcPr>
          <w:p w14:paraId="265E486F"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Sleep Quality</w:t>
            </w:r>
          </w:p>
        </w:tc>
        <w:tc>
          <w:tcPr>
            <w:tcW w:w="2325" w:type="dxa"/>
            <w:shd w:val="clear" w:color="auto" w:fill="auto"/>
            <w:tcMar>
              <w:top w:w="100" w:type="dxa"/>
              <w:left w:w="100" w:type="dxa"/>
              <w:bottom w:w="100" w:type="dxa"/>
              <w:right w:w="100" w:type="dxa"/>
            </w:tcMar>
          </w:tcPr>
          <w:p w14:paraId="0A0D87C5"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Wilcoxon Rank-Sum</w:t>
            </w:r>
          </w:p>
        </w:tc>
        <w:tc>
          <w:tcPr>
            <w:tcW w:w="1215" w:type="dxa"/>
            <w:shd w:val="clear" w:color="auto" w:fill="auto"/>
            <w:tcMar>
              <w:top w:w="100" w:type="dxa"/>
              <w:left w:w="100" w:type="dxa"/>
              <w:bottom w:w="100" w:type="dxa"/>
              <w:right w:w="100" w:type="dxa"/>
            </w:tcMar>
          </w:tcPr>
          <w:p w14:paraId="441E41F2" w14:textId="77777777" w:rsidR="006D4E60" w:rsidRPr="00322386" w:rsidRDefault="00063B85">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&lt; 0.001</w:t>
            </w:r>
          </w:p>
        </w:tc>
      </w:tr>
      <w:tr w:rsidR="00322386" w:rsidRPr="00322386" w14:paraId="46A3B5CF" w14:textId="77777777">
        <w:tc>
          <w:tcPr>
            <w:tcW w:w="1440" w:type="dxa"/>
            <w:shd w:val="clear" w:color="auto" w:fill="auto"/>
            <w:tcMar>
              <w:top w:w="100" w:type="dxa"/>
              <w:left w:w="100" w:type="dxa"/>
              <w:bottom w:w="100" w:type="dxa"/>
              <w:right w:w="100" w:type="dxa"/>
            </w:tcMar>
          </w:tcPr>
          <w:p w14:paraId="15558393"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Depression</w:t>
            </w:r>
          </w:p>
        </w:tc>
        <w:tc>
          <w:tcPr>
            <w:tcW w:w="2325" w:type="dxa"/>
            <w:shd w:val="clear" w:color="auto" w:fill="auto"/>
            <w:tcMar>
              <w:top w:w="100" w:type="dxa"/>
              <w:left w:w="100" w:type="dxa"/>
              <w:bottom w:w="100" w:type="dxa"/>
              <w:right w:w="100" w:type="dxa"/>
            </w:tcMar>
          </w:tcPr>
          <w:p w14:paraId="0CA56224"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3FB2BA59"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 0.0426</w:t>
            </w:r>
          </w:p>
        </w:tc>
      </w:tr>
      <w:tr w:rsidR="00322386" w:rsidRPr="00322386" w14:paraId="64FAB8BC" w14:textId="77777777">
        <w:tc>
          <w:tcPr>
            <w:tcW w:w="1440" w:type="dxa"/>
            <w:shd w:val="clear" w:color="auto" w:fill="auto"/>
            <w:tcMar>
              <w:top w:w="100" w:type="dxa"/>
              <w:left w:w="100" w:type="dxa"/>
              <w:bottom w:w="100" w:type="dxa"/>
              <w:right w:w="100" w:type="dxa"/>
            </w:tcMar>
          </w:tcPr>
          <w:p w14:paraId="11829900"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Vigor</w:t>
            </w:r>
          </w:p>
        </w:tc>
        <w:tc>
          <w:tcPr>
            <w:tcW w:w="2325" w:type="dxa"/>
            <w:shd w:val="clear" w:color="auto" w:fill="auto"/>
            <w:tcMar>
              <w:top w:w="100" w:type="dxa"/>
              <w:left w:w="100" w:type="dxa"/>
              <w:bottom w:w="100" w:type="dxa"/>
              <w:right w:w="100" w:type="dxa"/>
            </w:tcMar>
          </w:tcPr>
          <w:p w14:paraId="5A343D76"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2126B501" w14:textId="77777777" w:rsidR="006D4E60" w:rsidRPr="00322386" w:rsidRDefault="00063B85">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&lt; 0.001</w:t>
            </w:r>
          </w:p>
        </w:tc>
      </w:tr>
      <w:tr w:rsidR="00322386" w:rsidRPr="00322386" w14:paraId="2848F0EC" w14:textId="77777777">
        <w:trPr>
          <w:trHeight w:val="461"/>
        </w:trPr>
        <w:tc>
          <w:tcPr>
            <w:tcW w:w="1440" w:type="dxa"/>
            <w:shd w:val="clear" w:color="auto" w:fill="auto"/>
            <w:tcMar>
              <w:top w:w="100" w:type="dxa"/>
              <w:left w:w="100" w:type="dxa"/>
              <w:bottom w:w="100" w:type="dxa"/>
              <w:right w:w="100" w:type="dxa"/>
            </w:tcMar>
          </w:tcPr>
          <w:p w14:paraId="018DE82E"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Sleep Quality</w:t>
            </w:r>
          </w:p>
        </w:tc>
        <w:tc>
          <w:tcPr>
            <w:tcW w:w="2325" w:type="dxa"/>
            <w:shd w:val="clear" w:color="auto" w:fill="auto"/>
            <w:tcMar>
              <w:top w:w="100" w:type="dxa"/>
              <w:left w:w="100" w:type="dxa"/>
              <w:bottom w:w="100" w:type="dxa"/>
              <w:right w:w="100" w:type="dxa"/>
            </w:tcMar>
          </w:tcPr>
          <w:p w14:paraId="3C10E50F"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ANOVA</w:t>
            </w:r>
          </w:p>
        </w:tc>
        <w:tc>
          <w:tcPr>
            <w:tcW w:w="1215" w:type="dxa"/>
            <w:shd w:val="clear" w:color="auto" w:fill="auto"/>
            <w:tcMar>
              <w:top w:w="100" w:type="dxa"/>
              <w:left w:w="100" w:type="dxa"/>
              <w:bottom w:w="100" w:type="dxa"/>
              <w:right w:w="100" w:type="dxa"/>
            </w:tcMar>
          </w:tcPr>
          <w:p w14:paraId="6F303AB4" w14:textId="77777777" w:rsidR="006D4E60" w:rsidRPr="00322386" w:rsidRDefault="00063B85">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&lt; 0.001</w:t>
            </w:r>
          </w:p>
        </w:tc>
      </w:tr>
      <w:tr w:rsidR="00322386" w:rsidRPr="00322386" w14:paraId="3241BEA2" w14:textId="77777777">
        <w:trPr>
          <w:trHeight w:val="533"/>
        </w:trPr>
        <w:tc>
          <w:tcPr>
            <w:tcW w:w="1440" w:type="dxa"/>
            <w:shd w:val="clear" w:color="auto" w:fill="auto"/>
            <w:tcMar>
              <w:top w:w="100" w:type="dxa"/>
              <w:left w:w="100" w:type="dxa"/>
              <w:bottom w:w="100" w:type="dxa"/>
              <w:right w:w="100" w:type="dxa"/>
            </w:tcMar>
          </w:tcPr>
          <w:p w14:paraId="114F460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Vigorous Exercise Days</w:t>
            </w:r>
          </w:p>
        </w:tc>
        <w:tc>
          <w:tcPr>
            <w:tcW w:w="2325" w:type="dxa"/>
            <w:shd w:val="clear" w:color="auto" w:fill="auto"/>
            <w:tcMar>
              <w:top w:w="100" w:type="dxa"/>
              <w:left w:w="100" w:type="dxa"/>
              <w:bottom w:w="100" w:type="dxa"/>
              <w:right w:w="100" w:type="dxa"/>
            </w:tcMar>
          </w:tcPr>
          <w:p w14:paraId="293D7E04"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37181747"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0.5495</w:t>
            </w:r>
          </w:p>
        </w:tc>
      </w:tr>
      <w:tr w:rsidR="00322386" w:rsidRPr="00322386" w14:paraId="3F7B6BEA" w14:textId="77777777">
        <w:trPr>
          <w:trHeight w:val="533"/>
        </w:trPr>
        <w:tc>
          <w:tcPr>
            <w:tcW w:w="1440" w:type="dxa"/>
            <w:shd w:val="clear" w:color="auto" w:fill="auto"/>
            <w:tcMar>
              <w:top w:w="100" w:type="dxa"/>
              <w:left w:w="100" w:type="dxa"/>
              <w:bottom w:w="100" w:type="dxa"/>
              <w:right w:w="100" w:type="dxa"/>
            </w:tcMar>
          </w:tcPr>
          <w:p w14:paraId="1F3B1D67"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Vigorous Exercise</w:t>
            </w:r>
          </w:p>
        </w:tc>
        <w:tc>
          <w:tcPr>
            <w:tcW w:w="2325" w:type="dxa"/>
            <w:shd w:val="clear" w:color="auto" w:fill="auto"/>
            <w:tcMar>
              <w:top w:w="100" w:type="dxa"/>
              <w:left w:w="100" w:type="dxa"/>
              <w:bottom w:w="100" w:type="dxa"/>
              <w:right w:w="100" w:type="dxa"/>
            </w:tcMar>
          </w:tcPr>
          <w:p w14:paraId="39E3B60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6FCA5067" w14:textId="77777777" w:rsidR="006D4E60" w:rsidRPr="00322386" w:rsidRDefault="00063B85">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0.0378</w:t>
            </w:r>
          </w:p>
        </w:tc>
      </w:tr>
      <w:tr w:rsidR="00322386" w:rsidRPr="00322386" w14:paraId="00A8F635" w14:textId="77777777">
        <w:trPr>
          <w:trHeight w:val="533"/>
        </w:trPr>
        <w:tc>
          <w:tcPr>
            <w:tcW w:w="1440" w:type="dxa"/>
            <w:shd w:val="clear" w:color="auto" w:fill="auto"/>
            <w:tcMar>
              <w:top w:w="100" w:type="dxa"/>
              <w:left w:w="100" w:type="dxa"/>
              <w:bottom w:w="100" w:type="dxa"/>
              <w:right w:w="100" w:type="dxa"/>
            </w:tcMar>
          </w:tcPr>
          <w:p w14:paraId="7CE7CA71"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Moderate Exercise Days</w:t>
            </w:r>
          </w:p>
        </w:tc>
        <w:tc>
          <w:tcPr>
            <w:tcW w:w="2325" w:type="dxa"/>
            <w:shd w:val="clear" w:color="auto" w:fill="auto"/>
            <w:tcMar>
              <w:top w:w="100" w:type="dxa"/>
              <w:left w:w="100" w:type="dxa"/>
              <w:bottom w:w="100" w:type="dxa"/>
              <w:right w:w="100" w:type="dxa"/>
            </w:tcMar>
          </w:tcPr>
          <w:p w14:paraId="634E5A78"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4FF18C87" w14:textId="77777777" w:rsidR="006D4E60" w:rsidRPr="00322386" w:rsidRDefault="00063B85">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0.0025</w:t>
            </w:r>
          </w:p>
        </w:tc>
      </w:tr>
      <w:tr w:rsidR="00322386" w:rsidRPr="00322386" w14:paraId="38C24C7D" w14:textId="77777777">
        <w:trPr>
          <w:trHeight w:val="533"/>
        </w:trPr>
        <w:tc>
          <w:tcPr>
            <w:tcW w:w="1440" w:type="dxa"/>
            <w:shd w:val="clear" w:color="auto" w:fill="auto"/>
            <w:tcMar>
              <w:top w:w="100" w:type="dxa"/>
              <w:left w:w="100" w:type="dxa"/>
              <w:bottom w:w="100" w:type="dxa"/>
              <w:right w:w="100" w:type="dxa"/>
            </w:tcMar>
          </w:tcPr>
          <w:p w14:paraId="6CF9F697"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Moderate Exercise</w:t>
            </w:r>
          </w:p>
        </w:tc>
        <w:tc>
          <w:tcPr>
            <w:tcW w:w="2325" w:type="dxa"/>
            <w:shd w:val="clear" w:color="auto" w:fill="auto"/>
            <w:tcMar>
              <w:top w:w="100" w:type="dxa"/>
              <w:left w:w="100" w:type="dxa"/>
              <w:bottom w:w="100" w:type="dxa"/>
              <w:right w:w="100" w:type="dxa"/>
            </w:tcMar>
          </w:tcPr>
          <w:p w14:paraId="4C75E68F"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621AC9F3"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0.5261</w:t>
            </w:r>
          </w:p>
        </w:tc>
      </w:tr>
      <w:tr w:rsidR="00322386" w:rsidRPr="00322386" w14:paraId="4F62EDCB" w14:textId="77777777">
        <w:trPr>
          <w:trHeight w:val="533"/>
        </w:trPr>
        <w:tc>
          <w:tcPr>
            <w:tcW w:w="1440" w:type="dxa"/>
            <w:shd w:val="clear" w:color="auto" w:fill="auto"/>
            <w:tcMar>
              <w:top w:w="100" w:type="dxa"/>
              <w:left w:w="100" w:type="dxa"/>
              <w:bottom w:w="100" w:type="dxa"/>
              <w:right w:w="100" w:type="dxa"/>
            </w:tcMar>
          </w:tcPr>
          <w:p w14:paraId="10FD2FC1"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Walking Days</w:t>
            </w:r>
          </w:p>
        </w:tc>
        <w:tc>
          <w:tcPr>
            <w:tcW w:w="2325" w:type="dxa"/>
            <w:shd w:val="clear" w:color="auto" w:fill="auto"/>
            <w:tcMar>
              <w:top w:w="100" w:type="dxa"/>
              <w:left w:w="100" w:type="dxa"/>
              <w:bottom w:w="100" w:type="dxa"/>
              <w:right w:w="100" w:type="dxa"/>
            </w:tcMar>
          </w:tcPr>
          <w:p w14:paraId="5C1DB88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7B3C324F"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0.2451</w:t>
            </w:r>
          </w:p>
        </w:tc>
      </w:tr>
      <w:tr w:rsidR="00322386" w:rsidRPr="00322386" w14:paraId="63AE7531" w14:textId="77777777">
        <w:trPr>
          <w:trHeight w:val="533"/>
        </w:trPr>
        <w:tc>
          <w:tcPr>
            <w:tcW w:w="1440" w:type="dxa"/>
            <w:shd w:val="clear" w:color="auto" w:fill="auto"/>
            <w:tcMar>
              <w:top w:w="100" w:type="dxa"/>
              <w:left w:w="100" w:type="dxa"/>
              <w:bottom w:w="100" w:type="dxa"/>
              <w:right w:w="100" w:type="dxa"/>
            </w:tcMar>
          </w:tcPr>
          <w:p w14:paraId="21497092"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Walking</w:t>
            </w:r>
          </w:p>
        </w:tc>
        <w:tc>
          <w:tcPr>
            <w:tcW w:w="2325" w:type="dxa"/>
            <w:shd w:val="clear" w:color="auto" w:fill="auto"/>
            <w:tcMar>
              <w:top w:w="100" w:type="dxa"/>
              <w:left w:w="100" w:type="dxa"/>
              <w:bottom w:w="100" w:type="dxa"/>
              <w:right w:w="100" w:type="dxa"/>
            </w:tcMar>
          </w:tcPr>
          <w:p w14:paraId="19705321"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0531D469"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0.1131</w:t>
            </w:r>
          </w:p>
        </w:tc>
      </w:tr>
      <w:tr w:rsidR="00322386" w:rsidRPr="00322386" w14:paraId="68D75741" w14:textId="77777777">
        <w:trPr>
          <w:trHeight w:val="533"/>
        </w:trPr>
        <w:tc>
          <w:tcPr>
            <w:tcW w:w="1440" w:type="dxa"/>
            <w:shd w:val="clear" w:color="auto" w:fill="auto"/>
            <w:tcMar>
              <w:top w:w="100" w:type="dxa"/>
              <w:left w:w="100" w:type="dxa"/>
              <w:bottom w:w="100" w:type="dxa"/>
              <w:right w:w="100" w:type="dxa"/>
            </w:tcMar>
          </w:tcPr>
          <w:p w14:paraId="36D2C9B8"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Time/Day - Sitting</w:t>
            </w:r>
          </w:p>
        </w:tc>
        <w:tc>
          <w:tcPr>
            <w:tcW w:w="2325" w:type="dxa"/>
            <w:shd w:val="clear" w:color="auto" w:fill="auto"/>
            <w:tcMar>
              <w:top w:w="100" w:type="dxa"/>
              <w:left w:w="100" w:type="dxa"/>
              <w:bottom w:w="100" w:type="dxa"/>
              <w:right w:w="100" w:type="dxa"/>
            </w:tcMar>
          </w:tcPr>
          <w:p w14:paraId="4F91676B" w14:textId="77777777" w:rsidR="006D4E60" w:rsidRPr="00322386" w:rsidRDefault="00063B85">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183949F7" w14:textId="77777777" w:rsidR="006D4E60" w:rsidRPr="00322386" w:rsidRDefault="00063B85">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&lt; 0.001</w:t>
            </w:r>
          </w:p>
        </w:tc>
      </w:tr>
      <w:tr w:rsidR="00322386" w:rsidRPr="00322386" w14:paraId="4FC75225" w14:textId="77777777">
        <w:trPr>
          <w:trHeight w:val="533"/>
        </w:trPr>
        <w:tc>
          <w:tcPr>
            <w:tcW w:w="1440" w:type="dxa"/>
            <w:shd w:val="clear" w:color="auto" w:fill="auto"/>
            <w:tcMar>
              <w:top w:w="100" w:type="dxa"/>
              <w:left w:w="100" w:type="dxa"/>
              <w:bottom w:w="100" w:type="dxa"/>
              <w:right w:w="100" w:type="dxa"/>
            </w:tcMar>
          </w:tcPr>
          <w:p w14:paraId="283B403E"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Total Exercise</w:t>
            </w:r>
          </w:p>
        </w:tc>
        <w:tc>
          <w:tcPr>
            <w:tcW w:w="2325" w:type="dxa"/>
            <w:shd w:val="clear" w:color="auto" w:fill="auto"/>
            <w:tcMar>
              <w:top w:w="100" w:type="dxa"/>
              <w:left w:w="100" w:type="dxa"/>
              <w:bottom w:w="100" w:type="dxa"/>
              <w:right w:w="100" w:type="dxa"/>
            </w:tcMar>
          </w:tcPr>
          <w:p w14:paraId="73B96C6B" w14:textId="11549DF9"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Two sample T-Test (mean)</w:t>
            </w:r>
          </w:p>
          <w:p w14:paraId="041C4605" w14:textId="3BEEBE2C"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Two sample T-Test (median)</w:t>
            </w:r>
          </w:p>
        </w:tc>
        <w:tc>
          <w:tcPr>
            <w:tcW w:w="1215" w:type="dxa"/>
            <w:shd w:val="clear" w:color="auto" w:fill="auto"/>
            <w:tcMar>
              <w:top w:w="100" w:type="dxa"/>
              <w:left w:w="100" w:type="dxa"/>
              <w:bottom w:w="100" w:type="dxa"/>
              <w:right w:w="100" w:type="dxa"/>
            </w:tcMar>
          </w:tcPr>
          <w:p w14:paraId="6603B399"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p>
          <w:p w14:paraId="4BB6E9D5" w14:textId="5102730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0.3239</w:t>
            </w:r>
          </w:p>
          <w:p w14:paraId="2CAB5DBF"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p>
          <w:p w14:paraId="5D8EF12E" w14:textId="370DEF8A"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0.2512</w:t>
            </w:r>
          </w:p>
        </w:tc>
      </w:tr>
      <w:tr w:rsidR="00322386" w:rsidRPr="00322386" w14:paraId="28D8C049" w14:textId="77777777">
        <w:trPr>
          <w:trHeight w:val="533"/>
        </w:trPr>
        <w:tc>
          <w:tcPr>
            <w:tcW w:w="1440" w:type="dxa"/>
            <w:shd w:val="clear" w:color="auto" w:fill="auto"/>
            <w:tcMar>
              <w:top w:w="100" w:type="dxa"/>
              <w:left w:w="100" w:type="dxa"/>
              <w:bottom w:w="100" w:type="dxa"/>
              <w:right w:w="100" w:type="dxa"/>
            </w:tcMar>
          </w:tcPr>
          <w:p w14:paraId="2CA72684"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Tobacco Use</w:t>
            </w:r>
          </w:p>
        </w:tc>
        <w:tc>
          <w:tcPr>
            <w:tcW w:w="2325" w:type="dxa"/>
            <w:shd w:val="clear" w:color="auto" w:fill="auto"/>
            <w:tcMar>
              <w:top w:w="100" w:type="dxa"/>
              <w:left w:w="100" w:type="dxa"/>
              <w:bottom w:w="100" w:type="dxa"/>
              <w:right w:w="100" w:type="dxa"/>
            </w:tcMar>
          </w:tcPr>
          <w:p w14:paraId="237D5DF6"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Insufficient data to run tests</w:t>
            </w:r>
          </w:p>
        </w:tc>
        <w:tc>
          <w:tcPr>
            <w:tcW w:w="1215" w:type="dxa"/>
            <w:shd w:val="clear" w:color="auto" w:fill="auto"/>
            <w:tcMar>
              <w:top w:w="100" w:type="dxa"/>
              <w:left w:w="100" w:type="dxa"/>
              <w:bottom w:w="100" w:type="dxa"/>
              <w:right w:w="100" w:type="dxa"/>
            </w:tcMar>
          </w:tcPr>
          <w:p w14:paraId="1B8A6F33"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N/A</w:t>
            </w:r>
          </w:p>
        </w:tc>
      </w:tr>
      <w:tr w:rsidR="00322386" w:rsidRPr="00322386" w14:paraId="79143E4E" w14:textId="77777777">
        <w:trPr>
          <w:trHeight w:val="533"/>
        </w:trPr>
        <w:tc>
          <w:tcPr>
            <w:tcW w:w="1440" w:type="dxa"/>
            <w:shd w:val="clear" w:color="auto" w:fill="auto"/>
            <w:tcMar>
              <w:top w:w="100" w:type="dxa"/>
              <w:left w:w="100" w:type="dxa"/>
              <w:bottom w:w="100" w:type="dxa"/>
              <w:right w:w="100" w:type="dxa"/>
            </w:tcMar>
          </w:tcPr>
          <w:p w14:paraId="1E55724F"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Beer Use</w:t>
            </w:r>
          </w:p>
        </w:tc>
        <w:tc>
          <w:tcPr>
            <w:tcW w:w="2325" w:type="dxa"/>
            <w:shd w:val="clear" w:color="auto" w:fill="auto"/>
            <w:tcMar>
              <w:top w:w="100" w:type="dxa"/>
              <w:left w:w="100" w:type="dxa"/>
              <w:bottom w:w="100" w:type="dxa"/>
              <w:right w:w="100" w:type="dxa"/>
            </w:tcMar>
          </w:tcPr>
          <w:p w14:paraId="4F0F069B"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0E7D5435"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0.9716</w:t>
            </w:r>
          </w:p>
        </w:tc>
      </w:tr>
      <w:tr w:rsidR="00322386" w:rsidRPr="00322386" w14:paraId="648BEA6A" w14:textId="77777777">
        <w:trPr>
          <w:trHeight w:val="533"/>
        </w:trPr>
        <w:tc>
          <w:tcPr>
            <w:tcW w:w="1440" w:type="dxa"/>
            <w:shd w:val="clear" w:color="auto" w:fill="auto"/>
            <w:tcMar>
              <w:top w:w="100" w:type="dxa"/>
              <w:left w:w="100" w:type="dxa"/>
              <w:bottom w:w="100" w:type="dxa"/>
              <w:right w:w="100" w:type="dxa"/>
            </w:tcMar>
          </w:tcPr>
          <w:p w14:paraId="18A73A5D"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Wine Use</w:t>
            </w:r>
          </w:p>
        </w:tc>
        <w:tc>
          <w:tcPr>
            <w:tcW w:w="2325" w:type="dxa"/>
            <w:shd w:val="clear" w:color="auto" w:fill="auto"/>
            <w:tcMar>
              <w:top w:w="100" w:type="dxa"/>
              <w:left w:w="100" w:type="dxa"/>
              <w:bottom w:w="100" w:type="dxa"/>
              <w:right w:w="100" w:type="dxa"/>
            </w:tcMar>
          </w:tcPr>
          <w:p w14:paraId="6276B75B"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7F651963"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0.7568</w:t>
            </w:r>
          </w:p>
        </w:tc>
      </w:tr>
      <w:tr w:rsidR="00322386" w:rsidRPr="00322386" w14:paraId="46118051" w14:textId="77777777">
        <w:trPr>
          <w:trHeight w:val="533"/>
        </w:trPr>
        <w:tc>
          <w:tcPr>
            <w:tcW w:w="1440" w:type="dxa"/>
            <w:shd w:val="clear" w:color="auto" w:fill="auto"/>
            <w:tcMar>
              <w:top w:w="100" w:type="dxa"/>
              <w:left w:w="100" w:type="dxa"/>
              <w:bottom w:w="100" w:type="dxa"/>
              <w:right w:w="100" w:type="dxa"/>
            </w:tcMar>
          </w:tcPr>
          <w:p w14:paraId="66ACE3A9"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Liquor Use</w:t>
            </w:r>
          </w:p>
        </w:tc>
        <w:tc>
          <w:tcPr>
            <w:tcW w:w="2325" w:type="dxa"/>
            <w:shd w:val="clear" w:color="auto" w:fill="auto"/>
            <w:tcMar>
              <w:top w:w="100" w:type="dxa"/>
              <w:left w:w="100" w:type="dxa"/>
              <w:bottom w:w="100" w:type="dxa"/>
              <w:right w:w="100" w:type="dxa"/>
            </w:tcMar>
          </w:tcPr>
          <w:p w14:paraId="11A6AD9A"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425EB34E" w14:textId="77777777" w:rsidR="00C13A12" w:rsidRPr="00322386" w:rsidRDefault="00C13A12" w:rsidP="00C13A12">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0.0423</w:t>
            </w:r>
          </w:p>
        </w:tc>
      </w:tr>
      <w:tr w:rsidR="00322386" w:rsidRPr="00322386" w14:paraId="06D7A56A" w14:textId="77777777">
        <w:trPr>
          <w:trHeight w:val="533"/>
        </w:trPr>
        <w:tc>
          <w:tcPr>
            <w:tcW w:w="1440" w:type="dxa"/>
            <w:shd w:val="clear" w:color="auto" w:fill="auto"/>
            <w:tcMar>
              <w:top w:w="100" w:type="dxa"/>
              <w:left w:w="100" w:type="dxa"/>
              <w:bottom w:w="100" w:type="dxa"/>
              <w:right w:w="100" w:type="dxa"/>
            </w:tcMar>
          </w:tcPr>
          <w:p w14:paraId="28747A1F"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Tea Use</w:t>
            </w:r>
          </w:p>
        </w:tc>
        <w:tc>
          <w:tcPr>
            <w:tcW w:w="2325" w:type="dxa"/>
            <w:shd w:val="clear" w:color="auto" w:fill="auto"/>
            <w:tcMar>
              <w:top w:w="100" w:type="dxa"/>
              <w:left w:w="100" w:type="dxa"/>
              <w:bottom w:w="100" w:type="dxa"/>
              <w:right w:w="100" w:type="dxa"/>
            </w:tcMar>
          </w:tcPr>
          <w:p w14:paraId="177DB0CF"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4BF4BBDB" w14:textId="77777777" w:rsidR="00C13A12" w:rsidRPr="00322386" w:rsidRDefault="00C13A12" w:rsidP="00C13A12">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0.0123</w:t>
            </w:r>
          </w:p>
        </w:tc>
      </w:tr>
      <w:tr w:rsidR="00322386" w:rsidRPr="00322386" w14:paraId="53941136" w14:textId="77777777">
        <w:trPr>
          <w:trHeight w:val="533"/>
        </w:trPr>
        <w:tc>
          <w:tcPr>
            <w:tcW w:w="1440" w:type="dxa"/>
            <w:shd w:val="clear" w:color="auto" w:fill="auto"/>
            <w:tcMar>
              <w:top w:w="100" w:type="dxa"/>
              <w:left w:w="100" w:type="dxa"/>
              <w:bottom w:w="100" w:type="dxa"/>
              <w:right w:w="100" w:type="dxa"/>
            </w:tcMar>
          </w:tcPr>
          <w:p w14:paraId="19F199B8"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Coffee Use</w:t>
            </w:r>
          </w:p>
        </w:tc>
        <w:tc>
          <w:tcPr>
            <w:tcW w:w="2325" w:type="dxa"/>
            <w:shd w:val="clear" w:color="auto" w:fill="auto"/>
            <w:tcMar>
              <w:top w:w="100" w:type="dxa"/>
              <w:left w:w="100" w:type="dxa"/>
              <w:bottom w:w="100" w:type="dxa"/>
              <w:right w:w="100" w:type="dxa"/>
            </w:tcMar>
          </w:tcPr>
          <w:p w14:paraId="64A2E2E3"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57E6FD66" w14:textId="77777777" w:rsidR="00C13A12" w:rsidRPr="00322386" w:rsidRDefault="00C13A12" w:rsidP="00C13A12">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0.0021</w:t>
            </w:r>
          </w:p>
        </w:tc>
      </w:tr>
      <w:tr w:rsidR="00322386" w:rsidRPr="00322386" w14:paraId="2AB6E2DB" w14:textId="77777777">
        <w:trPr>
          <w:trHeight w:val="533"/>
        </w:trPr>
        <w:tc>
          <w:tcPr>
            <w:tcW w:w="1440" w:type="dxa"/>
            <w:shd w:val="clear" w:color="auto" w:fill="auto"/>
            <w:tcMar>
              <w:top w:w="100" w:type="dxa"/>
              <w:left w:w="100" w:type="dxa"/>
              <w:bottom w:w="100" w:type="dxa"/>
              <w:right w:w="100" w:type="dxa"/>
            </w:tcMar>
          </w:tcPr>
          <w:p w14:paraId="726538AE"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Other Stimulant Beverage Use</w:t>
            </w:r>
          </w:p>
        </w:tc>
        <w:tc>
          <w:tcPr>
            <w:tcW w:w="2325" w:type="dxa"/>
            <w:shd w:val="clear" w:color="auto" w:fill="auto"/>
            <w:tcMar>
              <w:top w:w="100" w:type="dxa"/>
              <w:left w:w="100" w:type="dxa"/>
              <w:bottom w:w="100" w:type="dxa"/>
              <w:right w:w="100" w:type="dxa"/>
            </w:tcMar>
          </w:tcPr>
          <w:p w14:paraId="303C52EA"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 xml:space="preserve">Wilcoxon Rank-Sum </w:t>
            </w:r>
          </w:p>
        </w:tc>
        <w:tc>
          <w:tcPr>
            <w:tcW w:w="1215" w:type="dxa"/>
            <w:shd w:val="clear" w:color="auto" w:fill="auto"/>
            <w:tcMar>
              <w:top w:w="100" w:type="dxa"/>
              <w:left w:w="100" w:type="dxa"/>
              <w:bottom w:w="100" w:type="dxa"/>
              <w:right w:w="100" w:type="dxa"/>
            </w:tcMar>
          </w:tcPr>
          <w:p w14:paraId="15459D79"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0.0901</w:t>
            </w:r>
          </w:p>
        </w:tc>
      </w:tr>
      <w:tr w:rsidR="00322386" w:rsidRPr="00322386" w14:paraId="0790332B" w14:textId="77777777">
        <w:trPr>
          <w:trHeight w:val="533"/>
        </w:trPr>
        <w:tc>
          <w:tcPr>
            <w:tcW w:w="1440" w:type="dxa"/>
            <w:shd w:val="clear" w:color="auto" w:fill="auto"/>
            <w:tcMar>
              <w:top w:w="100" w:type="dxa"/>
              <w:left w:w="100" w:type="dxa"/>
              <w:bottom w:w="100" w:type="dxa"/>
              <w:right w:w="100" w:type="dxa"/>
            </w:tcMar>
          </w:tcPr>
          <w:p w14:paraId="4529B25E"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Crisis Length Expectancy</w:t>
            </w:r>
          </w:p>
        </w:tc>
        <w:tc>
          <w:tcPr>
            <w:tcW w:w="2325" w:type="dxa"/>
            <w:shd w:val="clear" w:color="auto" w:fill="auto"/>
            <w:tcMar>
              <w:top w:w="100" w:type="dxa"/>
              <w:left w:w="100" w:type="dxa"/>
              <w:bottom w:w="100" w:type="dxa"/>
              <w:right w:w="100" w:type="dxa"/>
            </w:tcMar>
          </w:tcPr>
          <w:p w14:paraId="6BAC8C93"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Wilcoxon Rank-Sum</w:t>
            </w:r>
          </w:p>
        </w:tc>
        <w:tc>
          <w:tcPr>
            <w:tcW w:w="1215" w:type="dxa"/>
            <w:shd w:val="clear" w:color="auto" w:fill="auto"/>
            <w:tcMar>
              <w:top w:w="100" w:type="dxa"/>
              <w:left w:w="100" w:type="dxa"/>
              <w:bottom w:w="100" w:type="dxa"/>
              <w:right w:w="100" w:type="dxa"/>
            </w:tcMar>
          </w:tcPr>
          <w:p w14:paraId="5599C7BB" w14:textId="77777777" w:rsidR="00C13A12" w:rsidRPr="00322386" w:rsidRDefault="00C13A12" w:rsidP="00C13A12">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0.0016</w:t>
            </w:r>
          </w:p>
        </w:tc>
      </w:tr>
      <w:tr w:rsidR="00C13A12" w:rsidRPr="00322386" w14:paraId="428E3BD5" w14:textId="77777777">
        <w:trPr>
          <w:trHeight w:val="533"/>
        </w:trPr>
        <w:tc>
          <w:tcPr>
            <w:tcW w:w="1440" w:type="dxa"/>
            <w:shd w:val="clear" w:color="auto" w:fill="auto"/>
            <w:tcMar>
              <w:top w:w="100" w:type="dxa"/>
              <w:left w:w="100" w:type="dxa"/>
              <w:bottom w:w="100" w:type="dxa"/>
              <w:right w:w="100" w:type="dxa"/>
            </w:tcMar>
          </w:tcPr>
          <w:p w14:paraId="4207B11E"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Trust In Authorities</w:t>
            </w:r>
          </w:p>
        </w:tc>
        <w:tc>
          <w:tcPr>
            <w:tcW w:w="2325" w:type="dxa"/>
            <w:shd w:val="clear" w:color="auto" w:fill="auto"/>
            <w:tcMar>
              <w:top w:w="100" w:type="dxa"/>
              <w:left w:w="100" w:type="dxa"/>
              <w:bottom w:w="100" w:type="dxa"/>
              <w:right w:w="100" w:type="dxa"/>
            </w:tcMar>
          </w:tcPr>
          <w:p w14:paraId="403E3F5A" w14:textId="77777777"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1 Tailed t-test (means)</w:t>
            </w:r>
          </w:p>
          <w:p w14:paraId="3C22A417" w14:textId="6A1A5209"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color w:val="000000" w:themeColor="text1"/>
                <w:sz w:val="18"/>
                <w:szCs w:val="18"/>
              </w:rPr>
              <w:t>1 Tailed t-test (medians)</w:t>
            </w:r>
          </w:p>
        </w:tc>
        <w:tc>
          <w:tcPr>
            <w:tcW w:w="1215" w:type="dxa"/>
            <w:shd w:val="clear" w:color="auto" w:fill="auto"/>
            <w:tcMar>
              <w:top w:w="100" w:type="dxa"/>
              <w:left w:w="100" w:type="dxa"/>
              <w:bottom w:w="100" w:type="dxa"/>
              <w:right w:w="100" w:type="dxa"/>
            </w:tcMar>
          </w:tcPr>
          <w:p w14:paraId="17FDD82E" w14:textId="1FFBA4A8" w:rsidR="00C13A12" w:rsidRPr="00322386" w:rsidRDefault="00C13A12" w:rsidP="00C13A12">
            <w:pPr>
              <w:widowControl w:val="0"/>
              <w:spacing w:line="240" w:lineRule="auto"/>
              <w:rPr>
                <w:rFonts w:asciiTheme="majorBidi" w:hAnsiTheme="majorBidi" w:cstheme="majorBidi"/>
                <w:i/>
                <w:iCs/>
                <w:color w:val="000000" w:themeColor="text1"/>
                <w:sz w:val="18"/>
                <w:szCs w:val="18"/>
              </w:rPr>
            </w:pPr>
            <w:r w:rsidRPr="00322386">
              <w:rPr>
                <w:rFonts w:asciiTheme="majorBidi" w:hAnsiTheme="majorBidi" w:cstheme="majorBidi"/>
                <w:i/>
                <w:iCs/>
                <w:color w:val="000000" w:themeColor="text1"/>
                <w:sz w:val="18"/>
                <w:szCs w:val="18"/>
              </w:rPr>
              <w:t xml:space="preserve">0.0052 </w:t>
            </w:r>
          </w:p>
          <w:p w14:paraId="005B1DAE" w14:textId="66B9523C" w:rsidR="00C13A12" w:rsidRPr="00322386" w:rsidRDefault="00C13A12" w:rsidP="00C13A12">
            <w:pPr>
              <w:widowControl w:val="0"/>
              <w:spacing w:line="240" w:lineRule="auto"/>
              <w:rPr>
                <w:rFonts w:asciiTheme="majorBidi" w:hAnsiTheme="majorBidi" w:cstheme="majorBidi"/>
                <w:color w:val="000000" w:themeColor="text1"/>
                <w:sz w:val="18"/>
                <w:szCs w:val="18"/>
              </w:rPr>
            </w:pPr>
            <w:r w:rsidRPr="00322386">
              <w:rPr>
                <w:rFonts w:asciiTheme="majorBidi" w:hAnsiTheme="majorBidi" w:cstheme="majorBidi"/>
                <w:i/>
                <w:iCs/>
                <w:color w:val="000000" w:themeColor="text1"/>
                <w:sz w:val="18"/>
                <w:szCs w:val="18"/>
              </w:rPr>
              <w:t>0.0119</w:t>
            </w:r>
          </w:p>
        </w:tc>
      </w:tr>
    </w:tbl>
    <w:p w14:paraId="659A26E1" w14:textId="77777777" w:rsidR="006D4E60" w:rsidRPr="00322386" w:rsidRDefault="006D4E60">
      <w:pPr>
        <w:jc w:val="both"/>
        <w:rPr>
          <w:rFonts w:asciiTheme="majorBidi" w:hAnsiTheme="majorBidi" w:cstheme="majorBidi"/>
          <w:color w:val="000000" w:themeColor="text1"/>
        </w:rPr>
      </w:pPr>
    </w:p>
    <w:p w14:paraId="65D27F6B" w14:textId="77777777" w:rsidR="006D4E60" w:rsidRPr="00322386" w:rsidRDefault="00063B85">
      <w:pPr>
        <w:ind w:firstLine="720"/>
        <w:jc w:val="both"/>
        <w:rPr>
          <w:rFonts w:asciiTheme="majorBidi" w:hAnsiTheme="majorBidi" w:cstheme="majorBidi"/>
          <w:i/>
          <w:color w:val="000000" w:themeColor="text1"/>
        </w:rPr>
      </w:pPr>
      <w:r w:rsidRPr="00322386">
        <w:rPr>
          <w:rFonts w:asciiTheme="majorBidi" w:hAnsiTheme="majorBidi" w:cstheme="majorBidi"/>
          <w:i/>
          <w:color w:val="000000" w:themeColor="text1"/>
        </w:rPr>
        <w:t>POMS Depression</w:t>
      </w:r>
    </w:p>
    <w:p w14:paraId="576F2B79" w14:textId="22A9F91B"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The effect of not living alone on depression level was shown to have an effect. Through a Wilcoxon rank sum test with null hypothesis tested that living alone and not living alone experienced same</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level of depression. With a p-value of 0.0426 we rejected the null hypothesis in favor of likelihood that there was a difference between the two. Looking at figure </w:t>
      </w:r>
      <w:r w:rsidR="00665550" w:rsidRPr="00322386">
        <w:rPr>
          <w:rFonts w:asciiTheme="majorBidi" w:hAnsiTheme="majorBidi" w:cstheme="majorBidi"/>
          <w:color w:val="000000" w:themeColor="text1"/>
        </w:rPr>
        <w:t>4, panel a,</w:t>
      </w:r>
      <w:r w:rsidRPr="00322386">
        <w:rPr>
          <w:rFonts w:asciiTheme="majorBidi" w:hAnsiTheme="majorBidi" w:cstheme="majorBidi"/>
          <w:color w:val="000000" w:themeColor="text1"/>
        </w:rPr>
        <w:t xml:space="preserve"> we can see that with a plot of the means that those living alone tended to have a larger depression level. </w:t>
      </w:r>
    </w:p>
    <w:p w14:paraId="5EE3A79B" w14:textId="77777777" w:rsidR="006D4E60" w:rsidRPr="00322386" w:rsidRDefault="006D4E60">
      <w:pPr>
        <w:jc w:val="both"/>
        <w:rPr>
          <w:rFonts w:asciiTheme="majorBidi" w:hAnsiTheme="majorBidi" w:cstheme="majorBidi"/>
          <w:color w:val="000000" w:themeColor="text1"/>
        </w:rPr>
      </w:pPr>
    </w:p>
    <w:p w14:paraId="5EA1DFAA" w14:textId="77777777" w:rsidR="006D4E60" w:rsidRPr="00322386" w:rsidRDefault="00063B85">
      <w:pPr>
        <w:ind w:firstLine="720"/>
        <w:jc w:val="both"/>
        <w:rPr>
          <w:rFonts w:asciiTheme="majorBidi" w:hAnsiTheme="majorBidi" w:cstheme="majorBidi"/>
          <w:i/>
          <w:color w:val="000000" w:themeColor="text1"/>
        </w:rPr>
      </w:pPr>
      <w:r w:rsidRPr="00322386">
        <w:rPr>
          <w:rFonts w:asciiTheme="majorBidi" w:hAnsiTheme="majorBidi" w:cstheme="majorBidi"/>
          <w:i/>
          <w:color w:val="000000" w:themeColor="text1"/>
        </w:rPr>
        <w:t xml:space="preserve">POMS Vigor </w:t>
      </w:r>
    </w:p>
    <w:p w14:paraId="030E6E5A" w14:textId="5428442C"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Vigor was found to likely be higher for those who lived with others. Using the Wilcoxon rank </w:t>
      </w:r>
      <w:proofErr w:type="gramStart"/>
      <w:r w:rsidRPr="00322386">
        <w:rPr>
          <w:rFonts w:asciiTheme="majorBidi" w:hAnsiTheme="majorBidi" w:cstheme="majorBidi"/>
          <w:color w:val="000000" w:themeColor="text1"/>
        </w:rPr>
        <w:t>sum</w:t>
      </w:r>
      <w:proofErr w:type="gramEnd"/>
      <w:r w:rsidRPr="00322386">
        <w:rPr>
          <w:rFonts w:asciiTheme="majorBidi" w:hAnsiTheme="majorBidi" w:cstheme="majorBidi"/>
          <w:color w:val="000000" w:themeColor="text1"/>
        </w:rPr>
        <w:t xml:space="preserve"> we tested the null hypothesis that vigor was the same for those living alone and not alone. We reject the null hypothesis with a p-value much less than 0.001. Looking at figure </w:t>
      </w:r>
      <w:r w:rsidR="00665550" w:rsidRPr="00322386">
        <w:rPr>
          <w:rFonts w:asciiTheme="majorBidi" w:hAnsiTheme="majorBidi" w:cstheme="majorBidi"/>
          <w:color w:val="000000" w:themeColor="text1"/>
        </w:rPr>
        <w:t>4, panel b</w:t>
      </w:r>
      <w:r w:rsidRPr="00322386">
        <w:rPr>
          <w:rFonts w:asciiTheme="majorBidi" w:hAnsiTheme="majorBidi" w:cstheme="majorBidi"/>
          <w:color w:val="000000" w:themeColor="text1"/>
        </w:rPr>
        <w:t xml:space="preserve">, </w:t>
      </w:r>
      <w:r w:rsidR="00665550" w:rsidRPr="00322386">
        <w:rPr>
          <w:rFonts w:asciiTheme="majorBidi" w:hAnsiTheme="majorBidi" w:cstheme="majorBidi"/>
          <w:color w:val="000000" w:themeColor="text1"/>
        </w:rPr>
        <w:t>those</w:t>
      </w:r>
      <w:r w:rsidRPr="00322386">
        <w:rPr>
          <w:rFonts w:asciiTheme="majorBidi" w:hAnsiTheme="majorBidi" w:cstheme="majorBidi"/>
          <w:color w:val="000000" w:themeColor="text1"/>
        </w:rPr>
        <w:t xml:space="preserve"> living with others tended to have higher vigor than those living alone. </w:t>
      </w:r>
    </w:p>
    <w:p w14:paraId="5BAC3442" w14:textId="77777777" w:rsidR="006D4E60" w:rsidRPr="00322386" w:rsidRDefault="006D4E60">
      <w:pPr>
        <w:jc w:val="both"/>
        <w:rPr>
          <w:rFonts w:asciiTheme="majorBidi" w:hAnsiTheme="majorBidi" w:cstheme="majorBidi"/>
          <w:color w:val="000000" w:themeColor="text1"/>
        </w:rPr>
      </w:pPr>
    </w:p>
    <w:p w14:paraId="785D9F58" w14:textId="77777777" w:rsidR="006D4E60" w:rsidRPr="00322386" w:rsidRDefault="00063B85">
      <w:pPr>
        <w:ind w:firstLine="720"/>
        <w:jc w:val="both"/>
        <w:rPr>
          <w:rFonts w:asciiTheme="majorBidi" w:hAnsiTheme="majorBidi" w:cstheme="majorBidi"/>
          <w:i/>
          <w:color w:val="000000" w:themeColor="text1"/>
        </w:rPr>
      </w:pPr>
      <w:r w:rsidRPr="00322386">
        <w:rPr>
          <w:rFonts w:asciiTheme="majorBidi" w:hAnsiTheme="majorBidi" w:cstheme="majorBidi"/>
          <w:i/>
          <w:color w:val="000000" w:themeColor="text1"/>
        </w:rPr>
        <w:t xml:space="preserve">State Anxiety </w:t>
      </w:r>
    </w:p>
    <w:p w14:paraId="3AB6DBDE" w14:textId="4A34968F"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The effect of living with others was found to again be significant for state anxiety. Utilizing Wilcoxon rank sum test the null hypothesis that living with others or alone had </w:t>
      </w:r>
      <w:r w:rsidRPr="00322386">
        <w:rPr>
          <w:rFonts w:asciiTheme="majorBidi" w:hAnsiTheme="majorBidi" w:cstheme="majorBidi"/>
          <w:color w:val="000000" w:themeColor="text1"/>
        </w:rPr>
        <w:lastRenderedPageBreak/>
        <w:t xml:space="preserve">the same levels of anxiety, this hypothesis was rejected. As seen in figure </w:t>
      </w:r>
      <w:r w:rsidR="00665550" w:rsidRPr="00322386">
        <w:rPr>
          <w:rFonts w:asciiTheme="majorBidi" w:hAnsiTheme="majorBidi" w:cstheme="majorBidi"/>
          <w:color w:val="000000" w:themeColor="text1"/>
        </w:rPr>
        <w:t>4, panel c</w:t>
      </w:r>
      <w:r w:rsidRPr="00322386">
        <w:rPr>
          <w:rFonts w:asciiTheme="majorBidi" w:hAnsiTheme="majorBidi" w:cstheme="majorBidi"/>
          <w:color w:val="000000" w:themeColor="text1"/>
        </w:rPr>
        <w:t>, those living alone tended to have higher anxiety.</w:t>
      </w:r>
    </w:p>
    <w:p w14:paraId="141DB8E1" w14:textId="77777777" w:rsidR="006D4E60" w:rsidRPr="00322386" w:rsidRDefault="006D4E60">
      <w:pPr>
        <w:jc w:val="both"/>
        <w:rPr>
          <w:rFonts w:asciiTheme="majorBidi" w:hAnsiTheme="majorBidi" w:cstheme="majorBidi"/>
          <w:color w:val="000000" w:themeColor="text1"/>
        </w:rPr>
      </w:pPr>
    </w:p>
    <w:p w14:paraId="534A526C" w14:textId="77777777" w:rsidR="006D4E60" w:rsidRPr="00322386" w:rsidRDefault="00063B85">
      <w:pPr>
        <w:ind w:firstLine="720"/>
        <w:rPr>
          <w:rFonts w:asciiTheme="majorBidi" w:hAnsiTheme="majorBidi" w:cstheme="majorBidi"/>
          <w:i/>
          <w:color w:val="000000" w:themeColor="text1"/>
          <w:sz w:val="28"/>
          <w:szCs w:val="28"/>
        </w:rPr>
      </w:pPr>
      <w:r w:rsidRPr="00322386">
        <w:rPr>
          <w:rFonts w:asciiTheme="majorBidi" w:hAnsiTheme="majorBidi" w:cstheme="majorBidi"/>
          <w:i/>
          <w:color w:val="000000" w:themeColor="text1"/>
        </w:rPr>
        <w:t>Physical Activity</w:t>
      </w:r>
    </w:p>
    <w:p w14:paraId="6548EC66" w14:textId="777777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For a dataset of days spent vigorously exercising, the data was tested for parametricity, a null hypothesis stating those who live alone and those who live with others spent the same number of days vigorously exercising, and a statistical Wilcoxon Rank Sum test, we saw a p-value of 0.5495 and failed to reject the null hypothesis.</w:t>
      </w:r>
    </w:p>
    <w:p w14:paraId="39A1E5DD" w14:textId="77777777" w:rsidR="006D4E60" w:rsidRPr="00322386" w:rsidRDefault="006D4E60">
      <w:pPr>
        <w:rPr>
          <w:rFonts w:asciiTheme="majorBidi" w:hAnsiTheme="majorBidi" w:cstheme="majorBidi"/>
          <w:color w:val="000000" w:themeColor="text1"/>
        </w:rPr>
      </w:pPr>
    </w:p>
    <w:p w14:paraId="12FC1CD7" w14:textId="5E6C3A78"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The time spent per day of vigorous exercise was tested under the null hypothesis that those who live alone and those who live with others spent equal amounts of time vigorously exercising</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Returning a p-value of 0.0378 from a Wilcoxon Rank Sum, we reject the null hypothesis and take note that in figure </w:t>
      </w:r>
      <w:r w:rsidR="00665550" w:rsidRPr="00322386">
        <w:rPr>
          <w:rFonts w:asciiTheme="majorBidi" w:hAnsiTheme="majorBidi" w:cstheme="majorBidi"/>
          <w:color w:val="000000" w:themeColor="text1"/>
        </w:rPr>
        <w:t xml:space="preserve">4, panel </w:t>
      </w:r>
      <w:proofErr w:type="spellStart"/>
      <w:r w:rsidR="00665550" w:rsidRPr="00322386">
        <w:rPr>
          <w:rFonts w:asciiTheme="majorBidi" w:hAnsiTheme="majorBidi" w:cstheme="majorBidi"/>
          <w:color w:val="000000" w:themeColor="text1"/>
        </w:rPr>
        <w:t>i</w:t>
      </w:r>
      <w:proofErr w:type="spellEnd"/>
      <w:r w:rsidRPr="00322386">
        <w:rPr>
          <w:rFonts w:asciiTheme="majorBidi" w:hAnsiTheme="majorBidi" w:cstheme="majorBidi"/>
          <w:color w:val="000000" w:themeColor="text1"/>
        </w:rPr>
        <w:t>, on days of vigorous exercise those who live alone spent more time vigorously exercising.</w:t>
      </w:r>
    </w:p>
    <w:p w14:paraId="6CEB1781" w14:textId="77777777" w:rsidR="006D4E60" w:rsidRPr="00322386" w:rsidRDefault="006D4E60">
      <w:pPr>
        <w:rPr>
          <w:rFonts w:asciiTheme="majorBidi" w:hAnsiTheme="majorBidi" w:cstheme="majorBidi"/>
          <w:color w:val="000000" w:themeColor="text1"/>
        </w:rPr>
      </w:pPr>
    </w:p>
    <w:p w14:paraId="11F1A0EF" w14:textId="46D49A0C"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For a dataset of days spent moderately exercising, the data was tested for parametricity, a null hypothesis stating those who live alone and those who live with others spent the same number of days moderately exercising, and a statistical Wilcoxon Rank Sum test, we saw a p-value of 0.0025 and therefore we reject the null hypothesis</w:t>
      </w:r>
      <w:r w:rsidR="00665550" w:rsidRPr="00322386">
        <w:rPr>
          <w:rFonts w:asciiTheme="majorBidi" w:hAnsiTheme="majorBidi" w:cstheme="majorBidi"/>
          <w:color w:val="000000" w:themeColor="text1"/>
        </w:rPr>
        <w:t xml:space="preserve">. </w:t>
      </w:r>
    </w:p>
    <w:p w14:paraId="7DB7A80B" w14:textId="35FF487B"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As noted in figure </w:t>
      </w:r>
      <w:r w:rsidR="00665550" w:rsidRPr="00322386">
        <w:rPr>
          <w:rFonts w:asciiTheme="majorBidi" w:hAnsiTheme="majorBidi" w:cstheme="majorBidi"/>
          <w:color w:val="000000" w:themeColor="text1"/>
        </w:rPr>
        <w:t>4, panel h</w:t>
      </w:r>
      <w:r w:rsidRPr="00322386">
        <w:rPr>
          <w:rFonts w:asciiTheme="majorBidi" w:hAnsiTheme="majorBidi" w:cstheme="majorBidi"/>
          <w:color w:val="000000" w:themeColor="text1"/>
        </w:rPr>
        <w:t>, those who lived with others spent more days moderately exercising than those who lived alone.</w:t>
      </w:r>
    </w:p>
    <w:p w14:paraId="09B6A92F" w14:textId="77777777" w:rsidR="006D4E60" w:rsidRPr="00322386" w:rsidRDefault="006D4E60">
      <w:pPr>
        <w:rPr>
          <w:rFonts w:asciiTheme="majorBidi" w:hAnsiTheme="majorBidi" w:cstheme="majorBidi"/>
          <w:color w:val="000000" w:themeColor="text1"/>
        </w:rPr>
      </w:pPr>
    </w:p>
    <w:p w14:paraId="3F8514DD" w14:textId="4B21E7F8"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The time spent per day of moderate exercise was tested under the null hypothesis that those who live alone and those who live with others spent equal amounts of time moderately exercising</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Returning a p-value of 0.5261 from a Wilcoxon Rank Sum, we fail to reject the null hypothesis.</w:t>
      </w:r>
    </w:p>
    <w:p w14:paraId="6F7E433D" w14:textId="77777777" w:rsidR="006D4E60" w:rsidRPr="00322386" w:rsidRDefault="006D4E60">
      <w:pPr>
        <w:rPr>
          <w:rFonts w:asciiTheme="majorBidi" w:hAnsiTheme="majorBidi" w:cstheme="majorBidi"/>
          <w:color w:val="000000" w:themeColor="text1"/>
        </w:rPr>
      </w:pPr>
    </w:p>
    <w:p w14:paraId="59E67D02" w14:textId="777777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For a dataset of days spent walking, the data was tested for parametricity, a null hypothesis stating those who live alone and those who live with others the same number of days walking, and a statistical Wilcoxon Rank Sum test, we saw a p-value of 0.2451 and failed to reject the null hypothesis.</w:t>
      </w:r>
    </w:p>
    <w:p w14:paraId="7A56ADAF" w14:textId="77777777" w:rsidR="006D4E60" w:rsidRPr="00322386" w:rsidRDefault="006D4E60">
      <w:pPr>
        <w:rPr>
          <w:rFonts w:asciiTheme="majorBidi" w:hAnsiTheme="majorBidi" w:cstheme="majorBidi"/>
          <w:color w:val="000000" w:themeColor="text1"/>
        </w:rPr>
      </w:pPr>
    </w:p>
    <w:p w14:paraId="6A520B5B" w14:textId="3132A5EE"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The time spent per day of walking was tested under the null hypothesis that those who live alone and those who live with others spent equal amounts of time per day walking</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Returning a p-value of 0.1131 from a Wilcoxon Rank Sum, we fail to reject the null hypothesis.</w:t>
      </w:r>
    </w:p>
    <w:p w14:paraId="688A9AC4" w14:textId="77777777" w:rsidR="006D4E60" w:rsidRPr="00322386" w:rsidRDefault="006D4E60">
      <w:pPr>
        <w:rPr>
          <w:rFonts w:asciiTheme="majorBidi" w:hAnsiTheme="majorBidi" w:cstheme="majorBidi"/>
          <w:color w:val="000000" w:themeColor="text1"/>
        </w:rPr>
      </w:pPr>
    </w:p>
    <w:p w14:paraId="286042F2" w14:textId="2376D6F4"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The time spent per day sitting was tested under the null hypothesis that those who live alone and those who live with others spent equal amounts of time sitting</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Returning a p-value of &lt; 0.001 from a Wilcoxon Rank Sum, we reject the null hypothesis</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We note in figure </w:t>
      </w:r>
      <w:r w:rsidR="00665550" w:rsidRPr="00322386">
        <w:rPr>
          <w:rFonts w:asciiTheme="majorBidi" w:hAnsiTheme="majorBidi" w:cstheme="majorBidi"/>
          <w:color w:val="000000" w:themeColor="text1"/>
        </w:rPr>
        <w:t>4, panel j</w:t>
      </w:r>
      <w:r w:rsidRPr="00322386">
        <w:rPr>
          <w:rFonts w:asciiTheme="majorBidi" w:hAnsiTheme="majorBidi" w:cstheme="majorBidi"/>
          <w:color w:val="000000" w:themeColor="text1"/>
        </w:rPr>
        <w:t>, people who live alone spend more time sitting than those who live with others.</w:t>
      </w:r>
    </w:p>
    <w:p w14:paraId="0FF50D6B" w14:textId="77777777" w:rsidR="006D4E60" w:rsidRPr="00322386" w:rsidRDefault="006D4E60">
      <w:pPr>
        <w:rPr>
          <w:rFonts w:asciiTheme="majorBidi" w:hAnsiTheme="majorBidi" w:cstheme="majorBidi"/>
          <w:color w:val="000000" w:themeColor="text1"/>
        </w:rPr>
      </w:pPr>
    </w:p>
    <w:p w14:paraId="47106AA2" w14:textId="5A6C6B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Total exercise was tested using a </w:t>
      </w:r>
      <w:proofErr w:type="gramStart"/>
      <w:r w:rsidRPr="00322386">
        <w:rPr>
          <w:rFonts w:asciiTheme="majorBidi" w:hAnsiTheme="majorBidi" w:cstheme="majorBidi"/>
          <w:color w:val="000000" w:themeColor="text1"/>
        </w:rPr>
        <w:t>2 sample</w:t>
      </w:r>
      <w:proofErr w:type="gramEnd"/>
      <w:r w:rsidRPr="00322386">
        <w:rPr>
          <w:rFonts w:asciiTheme="majorBidi" w:hAnsiTheme="majorBidi" w:cstheme="majorBidi"/>
          <w:color w:val="000000" w:themeColor="text1"/>
        </w:rPr>
        <w:t xml:space="preserve"> t test on both means and median data.  A null hypothesis claimed that both those who live alone and those who live with others had an equal total exercise value</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However, returned p-values of 0.3239 for the mean data set and 0.2512 for the median data set, we fail to reject the null hypothesis.</w:t>
      </w:r>
    </w:p>
    <w:p w14:paraId="5BD79B7F" w14:textId="77777777" w:rsidR="006D4E60" w:rsidRPr="00322386" w:rsidRDefault="006D4E60">
      <w:pPr>
        <w:rPr>
          <w:rFonts w:asciiTheme="majorBidi" w:hAnsiTheme="majorBidi" w:cstheme="majorBidi"/>
          <w:color w:val="000000" w:themeColor="text1"/>
        </w:rPr>
      </w:pPr>
    </w:p>
    <w:p w14:paraId="79753E62" w14:textId="77777777" w:rsidR="006D4E60" w:rsidRPr="00322386" w:rsidRDefault="00063B85">
      <w:pPr>
        <w:rPr>
          <w:rFonts w:asciiTheme="majorBidi" w:hAnsiTheme="majorBidi" w:cstheme="majorBidi"/>
          <w: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Stimulant/Depressant Use</w:t>
      </w:r>
    </w:p>
    <w:p w14:paraId="21E74158" w14:textId="67BA909D"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As mentioned above,</w:t>
      </w:r>
      <w:r w:rsidR="00C13A12" w:rsidRPr="00322386">
        <w:rPr>
          <w:rFonts w:asciiTheme="majorBidi" w:hAnsiTheme="majorBidi" w:cstheme="majorBidi"/>
          <w:color w:val="000000" w:themeColor="text1"/>
        </w:rPr>
        <w:t xml:space="preserve"> n</w:t>
      </w:r>
      <w:r w:rsidRPr="00322386">
        <w:rPr>
          <w:rFonts w:asciiTheme="majorBidi" w:hAnsiTheme="majorBidi" w:cstheme="majorBidi"/>
          <w:color w:val="000000" w:themeColor="text1"/>
        </w:rPr>
        <w:t>o tests were</w:t>
      </w:r>
      <w:r w:rsidR="00C13A12" w:rsidRPr="00322386">
        <w:rPr>
          <w:rFonts w:asciiTheme="majorBidi" w:hAnsiTheme="majorBidi" w:cstheme="majorBidi"/>
          <w:color w:val="000000" w:themeColor="text1"/>
        </w:rPr>
        <w:t xml:space="preserve"> conducted on tobacco use.</w:t>
      </w:r>
    </w:p>
    <w:p w14:paraId="3FC29DAB" w14:textId="77777777" w:rsidR="006D4E60" w:rsidRPr="00322386" w:rsidRDefault="006D4E60">
      <w:pPr>
        <w:rPr>
          <w:rFonts w:asciiTheme="majorBidi" w:hAnsiTheme="majorBidi" w:cstheme="majorBidi"/>
          <w:color w:val="000000" w:themeColor="text1"/>
        </w:rPr>
      </w:pPr>
    </w:p>
    <w:p w14:paraId="282774A7" w14:textId="223FDE24"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glasses of beer drunk in the last 7 days was tested using a Wilcoxon Rank Sum test with the null hypothesis that those who live alone and those who live with others drank the same </w:t>
      </w:r>
      <w:r w:rsidR="00665550"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glasses of beer per day</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0.9716 so we fail to reject the null hypothesis.</w:t>
      </w:r>
    </w:p>
    <w:p w14:paraId="0CB2E1BE" w14:textId="77777777" w:rsidR="006D4E60" w:rsidRPr="00322386" w:rsidRDefault="006D4E60">
      <w:pPr>
        <w:rPr>
          <w:rFonts w:asciiTheme="majorBidi" w:hAnsiTheme="majorBidi" w:cstheme="majorBidi"/>
          <w:color w:val="000000" w:themeColor="text1"/>
        </w:rPr>
      </w:pPr>
    </w:p>
    <w:p w14:paraId="458AFCE8" w14:textId="4E6132F9"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glasses of wine drunk in the last 7 days was tested using a Wilcoxon Rank Sum test with the null hypothesis that those who live alone and those who live with others drank the same </w:t>
      </w:r>
      <w:r w:rsidR="00665550"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glasses of wine per day</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0.7568 so we fail to reject the null hypothesis.</w:t>
      </w:r>
    </w:p>
    <w:p w14:paraId="001523AE" w14:textId="77777777" w:rsidR="006D4E60" w:rsidRPr="00322386" w:rsidRDefault="006D4E60">
      <w:pPr>
        <w:rPr>
          <w:rFonts w:asciiTheme="majorBidi" w:hAnsiTheme="majorBidi" w:cstheme="majorBidi"/>
          <w:color w:val="000000" w:themeColor="text1"/>
        </w:rPr>
      </w:pPr>
    </w:p>
    <w:p w14:paraId="4606840E" w14:textId="230B8F9C"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glasses of liquor drunk in the last 7 days was tested using a Wilcoxon Rank Sum test with the null hypothesis that those who live alone and those who live with others drank the same </w:t>
      </w:r>
      <w:r w:rsidR="00665550"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glasses of liquor per day</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0.0423 so we reject the null hypothesis</w:t>
      </w:r>
      <w:r w:rsidR="008F452A"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As seen in figure </w:t>
      </w:r>
      <w:r w:rsidR="008F452A" w:rsidRPr="00322386">
        <w:rPr>
          <w:rFonts w:asciiTheme="majorBidi" w:hAnsiTheme="majorBidi" w:cstheme="majorBidi"/>
          <w:color w:val="000000" w:themeColor="text1"/>
        </w:rPr>
        <w:t>4, panel m</w:t>
      </w:r>
      <w:r w:rsidRPr="00322386">
        <w:rPr>
          <w:rFonts w:asciiTheme="majorBidi" w:hAnsiTheme="majorBidi" w:cstheme="majorBidi"/>
          <w:color w:val="000000" w:themeColor="text1"/>
        </w:rPr>
        <w:t>, we note that those who live alone drink more glasses of liquor than those who live with others.</w:t>
      </w:r>
    </w:p>
    <w:p w14:paraId="0304EF9F" w14:textId="77777777" w:rsidR="006D4E60" w:rsidRPr="00322386" w:rsidRDefault="006D4E60">
      <w:pPr>
        <w:rPr>
          <w:rFonts w:asciiTheme="majorBidi" w:hAnsiTheme="majorBidi" w:cstheme="majorBidi"/>
          <w:color w:val="000000" w:themeColor="text1"/>
        </w:rPr>
      </w:pPr>
    </w:p>
    <w:p w14:paraId="6F696267" w14:textId="512CBFED"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lastRenderedPageBreak/>
        <w:t xml:space="preserve">Number of cups of tea drunk in the last 7 days was tested using a Wilcoxon Rank Sum test with the null hypothesis that those who live alone and those who live with others drank the same </w:t>
      </w:r>
      <w:r w:rsidR="00665550"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cups of tea per day</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0.0123 so we reject the null hypothesis</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We note in figure </w:t>
      </w:r>
      <w:r w:rsidR="008F452A" w:rsidRPr="00322386">
        <w:rPr>
          <w:rFonts w:asciiTheme="majorBidi" w:hAnsiTheme="majorBidi" w:cstheme="majorBidi"/>
          <w:color w:val="000000" w:themeColor="text1"/>
        </w:rPr>
        <w:t>4, panel n,</w:t>
      </w:r>
      <w:r w:rsidRPr="00322386">
        <w:rPr>
          <w:rFonts w:asciiTheme="majorBidi" w:hAnsiTheme="majorBidi" w:cstheme="majorBidi"/>
          <w:color w:val="000000" w:themeColor="text1"/>
        </w:rPr>
        <w:t xml:space="preserve"> that those who live with others drink more tea than those who live alone.</w:t>
      </w:r>
    </w:p>
    <w:p w14:paraId="38F0F9BD" w14:textId="77777777" w:rsidR="006D4E60" w:rsidRPr="00322386" w:rsidRDefault="006D4E60">
      <w:pPr>
        <w:rPr>
          <w:rFonts w:asciiTheme="majorBidi" w:hAnsiTheme="majorBidi" w:cstheme="majorBidi"/>
          <w:color w:val="000000" w:themeColor="text1"/>
        </w:rPr>
      </w:pPr>
    </w:p>
    <w:p w14:paraId="0FA99CDB" w14:textId="0D47066C"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cups of coffee drunk in the last 7 days was tested using a Wilcoxon Rank Sum test with the null hypothesis that those who live alone and those who live with others drank the same </w:t>
      </w:r>
      <w:r w:rsidR="00665550"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cups of coffee per day</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returned p-value was equal to 0.0021 so we reject the null hypothesis</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As noted in figure </w:t>
      </w:r>
      <w:r w:rsidR="008F452A" w:rsidRPr="00322386">
        <w:rPr>
          <w:rFonts w:asciiTheme="majorBidi" w:hAnsiTheme="majorBidi" w:cstheme="majorBidi"/>
          <w:color w:val="000000" w:themeColor="text1"/>
        </w:rPr>
        <w:t>4, panel l</w:t>
      </w:r>
      <w:r w:rsidRPr="00322386">
        <w:rPr>
          <w:rFonts w:asciiTheme="majorBidi" w:hAnsiTheme="majorBidi" w:cstheme="majorBidi"/>
          <w:color w:val="000000" w:themeColor="text1"/>
        </w:rPr>
        <w:t xml:space="preserve">, we see that those who live with others drink more </w:t>
      </w:r>
      <w:r w:rsidR="008F452A" w:rsidRPr="00322386">
        <w:rPr>
          <w:rFonts w:asciiTheme="majorBidi" w:hAnsiTheme="majorBidi" w:cstheme="majorBidi"/>
          <w:color w:val="000000" w:themeColor="text1"/>
        </w:rPr>
        <w:t xml:space="preserve">coffee </w:t>
      </w:r>
      <w:r w:rsidRPr="00322386">
        <w:rPr>
          <w:rFonts w:asciiTheme="majorBidi" w:hAnsiTheme="majorBidi" w:cstheme="majorBidi"/>
          <w:color w:val="000000" w:themeColor="text1"/>
        </w:rPr>
        <w:t>than those who live alone.</w:t>
      </w:r>
    </w:p>
    <w:p w14:paraId="78F34530" w14:textId="77777777" w:rsidR="006D4E60" w:rsidRPr="00322386" w:rsidRDefault="006D4E60">
      <w:pPr>
        <w:rPr>
          <w:rFonts w:asciiTheme="majorBidi" w:hAnsiTheme="majorBidi" w:cstheme="majorBidi"/>
          <w:color w:val="000000" w:themeColor="text1"/>
        </w:rPr>
      </w:pPr>
    </w:p>
    <w:p w14:paraId="27B23528" w14:textId="47FCB9F5"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 xml:space="preserve">Number of cans of other caffeinated drinks drunk in the last 7 days was tested using a Wilcoxon Rank Sum test with the null hypothesis that those who live alone and those who live with others drank the same </w:t>
      </w:r>
      <w:r w:rsidR="00665550" w:rsidRPr="00322386">
        <w:rPr>
          <w:rFonts w:asciiTheme="majorBidi" w:hAnsiTheme="majorBidi" w:cstheme="majorBidi"/>
          <w:color w:val="000000" w:themeColor="text1"/>
        </w:rPr>
        <w:t>number</w:t>
      </w:r>
      <w:r w:rsidRPr="00322386">
        <w:rPr>
          <w:rFonts w:asciiTheme="majorBidi" w:hAnsiTheme="majorBidi" w:cstheme="majorBidi"/>
          <w:color w:val="000000" w:themeColor="text1"/>
        </w:rPr>
        <w:t xml:space="preserve"> of cans of caffeinated drinks per day</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A returned p-value was equal to 0.0901 so we fail to reject the null hypothesis. </w:t>
      </w:r>
    </w:p>
    <w:p w14:paraId="7AADF69A" w14:textId="77777777" w:rsidR="006D4E60" w:rsidRPr="00322386" w:rsidRDefault="006D4E60">
      <w:pPr>
        <w:jc w:val="both"/>
        <w:rPr>
          <w:rFonts w:asciiTheme="majorBidi" w:hAnsiTheme="majorBidi" w:cstheme="majorBidi"/>
          <w:color w:val="000000" w:themeColor="text1"/>
        </w:rPr>
      </w:pPr>
    </w:p>
    <w:p w14:paraId="7EDA5F30" w14:textId="77777777" w:rsidR="006D4E60" w:rsidRPr="00322386" w:rsidRDefault="00063B85">
      <w:pPr>
        <w:jc w:val="both"/>
        <w:rPr>
          <w:rFonts w:asciiTheme="majorBidi" w:hAnsiTheme="majorBidi" w:cstheme="majorBidi"/>
          <w: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COVID-19</w:t>
      </w:r>
    </w:p>
    <w:p w14:paraId="1A82AE59" w14:textId="77777777"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Most COVID-19 related questions were not affected by the living status of individuals. Compliance with lockdown protocol (p = 0.0522), and perception of the seriousness of the threat (p = 0.0558) produced p-values that were nearly significant results using a Wilcoxon Rank-Sum test. </w:t>
      </w:r>
    </w:p>
    <w:p w14:paraId="22675431" w14:textId="77777777" w:rsidR="006D4E60" w:rsidRPr="00322386" w:rsidRDefault="006D4E60">
      <w:pPr>
        <w:jc w:val="both"/>
        <w:rPr>
          <w:rFonts w:asciiTheme="majorBidi" w:hAnsiTheme="majorBidi" w:cstheme="majorBidi"/>
          <w:color w:val="000000" w:themeColor="text1"/>
        </w:rPr>
      </w:pPr>
    </w:p>
    <w:p w14:paraId="711596B1" w14:textId="3D3960EA"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The agreement to the question “</w:t>
      </w:r>
      <w:proofErr w:type="gramStart"/>
      <w:r w:rsidRPr="00322386">
        <w:rPr>
          <w:rFonts w:asciiTheme="majorBidi" w:hAnsiTheme="majorBidi" w:cstheme="majorBidi"/>
          <w:color w:val="000000" w:themeColor="text1"/>
        </w:rPr>
        <w:t>Do</w:t>
      </w:r>
      <w:proofErr w:type="gramEnd"/>
      <w:r w:rsidRPr="00322386">
        <w:rPr>
          <w:rFonts w:asciiTheme="majorBidi" w:hAnsiTheme="majorBidi" w:cstheme="majorBidi"/>
          <w:color w:val="000000" w:themeColor="text1"/>
        </w:rPr>
        <w:t xml:space="preserve"> you think the crisis will last long?” was different between individuals living alone and living with others. As can be observed in figure </w:t>
      </w:r>
      <w:r w:rsidR="008F452A" w:rsidRPr="00322386">
        <w:rPr>
          <w:rFonts w:asciiTheme="majorBidi" w:hAnsiTheme="majorBidi" w:cstheme="majorBidi"/>
          <w:color w:val="000000" w:themeColor="text1"/>
        </w:rPr>
        <w:t>4, panel d,</w:t>
      </w:r>
      <w:r w:rsidRPr="00322386">
        <w:rPr>
          <w:rFonts w:asciiTheme="majorBidi" w:hAnsiTheme="majorBidi" w:cstheme="majorBidi"/>
          <w:color w:val="000000" w:themeColor="text1"/>
        </w:rPr>
        <w:t xml:space="preserve"> people who were living alone thought the crisis would last longer. Similarly, in figure </w:t>
      </w:r>
      <w:r w:rsidR="008F452A" w:rsidRPr="00322386">
        <w:rPr>
          <w:rFonts w:asciiTheme="majorBidi" w:hAnsiTheme="majorBidi" w:cstheme="majorBidi"/>
          <w:color w:val="000000" w:themeColor="text1"/>
        </w:rPr>
        <w:t>4, panel e,</w:t>
      </w:r>
      <w:r w:rsidRPr="00322386">
        <w:rPr>
          <w:rFonts w:asciiTheme="majorBidi" w:hAnsiTheme="majorBidi" w:cstheme="majorBidi"/>
          <w:color w:val="000000" w:themeColor="text1"/>
        </w:rPr>
        <w:t xml:space="preserve"> it can be observed that trust in authorities was greater in those not living alone. This is supported by the statistical tests shown in the table above. </w:t>
      </w:r>
    </w:p>
    <w:p w14:paraId="6442FBA9" w14:textId="77777777" w:rsidR="006D4E60" w:rsidRPr="00322386" w:rsidRDefault="006D4E60">
      <w:pPr>
        <w:jc w:val="both"/>
        <w:rPr>
          <w:rFonts w:asciiTheme="majorBidi" w:hAnsiTheme="majorBidi" w:cstheme="majorBidi"/>
          <w:color w:val="000000" w:themeColor="text1"/>
        </w:rPr>
      </w:pPr>
    </w:p>
    <w:p w14:paraId="78BD69DE" w14:textId="77777777" w:rsidR="006D4E60" w:rsidRPr="00322386" w:rsidRDefault="00063B85">
      <w:pPr>
        <w:ind w:firstLine="720"/>
        <w:rPr>
          <w:rFonts w:asciiTheme="majorBidi" w:hAnsiTheme="majorBidi" w:cstheme="majorBidi"/>
          <w:color w:val="000000" w:themeColor="text1"/>
        </w:rPr>
      </w:pPr>
      <w:r w:rsidRPr="00322386">
        <w:rPr>
          <w:rFonts w:asciiTheme="majorBidi" w:hAnsiTheme="majorBidi" w:cstheme="majorBidi"/>
          <w:i/>
          <w:color w:val="000000" w:themeColor="text1"/>
        </w:rPr>
        <w:t>UCLA Loneliness</w:t>
      </w:r>
    </w:p>
    <w:p w14:paraId="159363EF" w14:textId="1ED537E6"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UCLA loneliness was tested both with means and median data</w:t>
      </w:r>
      <w:r w:rsidR="0066555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 null hypothesis claimed that those who lived alone and those who lived with others felt lonely equally. The Wilcoxon Rank</w:t>
      </w:r>
      <w:r w:rsidR="00B447B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sum test returned p-values of 0.0018 for the mean data set and less than 0.001 for the median data set; this demonstrates the null hypothesis is rejected. The test showed significant differences between the two groups. regarding loneliness. From figure </w:t>
      </w:r>
      <w:r w:rsidR="008F452A" w:rsidRPr="00322386">
        <w:rPr>
          <w:rFonts w:asciiTheme="majorBidi" w:hAnsiTheme="majorBidi" w:cstheme="majorBidi"/>
          <w:color w:val="000000" w:themeColor="text1"/>
        </w:rPr>
        <w:t>4, panel f</w:t>
      </w:r>
      <w:r w:rsidRPr="00322386">
        <w:rPr>
          <w:rFonts w:asciiTheme="majorBidi" w:hAnsiTheme="majorBidi" w:cstheme="majorBidi"/>
          <w:color w:val="000000" w:themeColor="text1"/>
        </w:rPr>
        <w:t xml:space="preserve">, the data showed that those who </w:t>
      </w:r>
      <w:proofErr w:type="gramStart"/>
      <w:r w:rsidRPr="00322386">
        <w:rPr>
          <w:rFonts w:asciiTheme="majorBidi" w:hAnsiTheme="majorBidi" w:cstheme="majorBidi"/>
          <w:color w:val="000000" w:themeColor="text1"/>
        </w:rPr>
        <w:t>are alone tend</w:t>
      </w:r>
      <w:proofErr w:type="gramEnd"/>
      <w:r w:rsidRPr="00322386">
        <w:rPr>
          <w:rFonts w:asciiTheme="majorBidi" w:hAnsiTheme="majorBidi" w:cstheme="majorBidi"/>
          <w:color w:val="000000" w:themeColor="text1"/>
        </w:rPr>
        <w:t xml:space="preserve"> to feel lonelier. </w:t>
      </w:r>
    </w:p>
    <w:p w14:paraId="526D8C15" w14:textId="77777777" w:rsidR="006D4E60" w:rsidRPr="00322386" w:rsidRDefault="006D4E60">
      <w:pPr>
        <w:rPr>
          <w:rFonts w:asciiTheme="majorBidi" w:hAnsiTheme="majorBidi" w:cstheme="majorBidi"/>
          <w:color w:val="000000" w:themeColor="text1"/>
        </w:rPr>
      </w:pPr>
    </w:p>
    <w:p w14:paraId="4FA3EDAD" w14:textId="77777777"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Sleep Quality</w:t>
      </w:r>
    </w:p>
    <w:p w14:paraId="5EE1DCD6" w14:textId="74CE2C79" w:rsidR="006D4E60" w:rsidRPr="00322386" w:rsidRDefault="00063B85">
      <w:pPr>
        <w:rPr>
          <w:rFonts w:asciiTheme="majorBidi" w:hAnsiTheme="majorBidi" w:cstheme="majorBidi"/>
          <w:color w:val="000000" w:themeColor="text1"/>
        </w:rPr>
      </w:pPr>
      <w:r w:rsidRPr="00322386">
        <w:rPr>
          <w:rFonts w:asciiTheme="majorBidi" w:hAnsiTheme="majorBidi" w:cstheme="majorBidi"/>
          <w:color w:val="000000" w:themeColor="text1"/>
        </w:rPr>
        <w:t>The PSQI dataset was tested both with means and median data. Using the null hypothesis which claimed that those who lived alone and those who lived with others have equal sleep quality.  The Wilcoxon Rank</w:t>
      </w:r>
      <w:r w:rsidR="00B447B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sum test returned p values of less than 0.001 for the mean data set and the median data set; this demonstrates the null hypothesis is rejected. According to figure </w:t>
      </w:r>
      <w:r w:rsidR="008F452A" w:rsidRPr="00322386">
        <w:rPr>
          <w:rFonts w:asciiTheme="majorBidi" w:hAnsiTheme="majorBidi" w:cstheme="majorBidi"/>
          <w:color w:val="000000" w:themeColor="text1"/>
        </w:rPr>
        <w:t>4, panel g</w:t>
      </w:r>
      <w:r w:rsidRPr="00322386">
        <w:rPr>
          <w:rFonts w:asciiTheme="majorBidi" w:hAnsiTheme="majorBidi" w:cstheme="majorBidi"/>
          <w:color w:val="000000" w:themeColor="text1"/>
        </w:rPr>
        <w:t>, the data showed that people living with others tend to have better quality of sleep.</w:t>
      </w:r>
    </w:p>
    <w:p w14:paraId="0D2E6638" w14:textId="1F49764F" w:rsidR="00C13A12" w:rsidRPr="00322386" w:rsidRDefault="00C13A12">
      <w:pPr>
        <w:jc w:val="both"/>
        <w:rPr>
          <w:rFonts w:asciiTheme="majorBidi" w:hAnsiTheme="majorBidi" w:cstheme="majorBidi"/>
          <w:color w:val="000000" w:themeColor="text1"/>
        </w:rPr>
      </w:pPr>
    </w:p>
    <w:p w14:paraId="681B780A" w14:textId="77777777" w:rsidR="00C13A12" w:rsidRPr="00322386" w:rsidRDefault="00C13A12" w:rsidP="00E16365">
      <w:pPr>
        <w:widowControl w:val="0"/>
        <w:pBdr>
          <w:top w:val="nil"/>
          <w:left w:val="nil"/>
          <w:bottom w:val="nil"/>
          <w:right w:val="nil"/>
          <w:between w:val="nil"/>
        </w:pBdr>
        <w:spacing w:line="240" w:lineRule="auto"/>
        <w:rPr>
          <w:rFonts w:asciiTheme="majorBidi" w:hAnsiTheme="majorBidi" w:cstheme="majorBidi"/>
          <w:color w:val="000000" w:themeColor="text1"/>
        </w:rPr>
        <w:sectPr w:rsidR="00C13A12" w:rsidRPr="00322386">
          <w:type w:val="continuous"/>
          <w:pgSz w:w="12240" w:h="15840"/>
          <w:pgMar w:top="720" w:right="720" w:bottom="720" w:left="720" w:header="720" w:footer="720" w:gutter="0"/>
          <w:cols w:num="2" w:space="720" w:equalWidth="0">
            <w:col w:w="5040" w:space="720"/>
            <w:col w:w="5040" w:space="0"/>
          </w:cols>
        </w:sectPr>
      </w:pPr>
    </w:p>
    <w:p w14:paraId="48143255" w14:textId="77777777" w:rsidR="006D4E60" w:rsidRPr="00322386" w:rsidRDefault="00063B85" w:rsidP="003A7987">
      <w:pPr>
        <w:pStyle w:val="Heading2"/>
        <w:rPr>
          <w:rFonts w:asciiTheme="majorBidi" w:hAnsiTheme="majorBidi" w:cstheme="majorBidi"/>
          <w:color w:val="000000" w:themeColor="text1"/>
        </w:rPr>
      </w:pPr>
      <w:bookmarkStart w:id="18" w:name="_6e3qalpy4a4r" w:colFirst="0" w:colLast="0"/>
      <w:bookmarkEnd w:id="18"/>
      <w:r w:rsidRPr="00322386">
        <w:rPr>
          <w:rFonts w:asciiTheme="majorBidi" w:hAnsiTheme="majorBidi" w:cstheme="majorBidi"/>
          <w:color w:val="000000" w:themeColor="text1"/>
        </w:rPr>
        <w:t>DISCUSSION</w:t>
      </w:r>
    </w:p>
    <w:p w14:paraId="49DBC55D" w14:textId="7F33C8FB"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The findings of this project have shed light on effects of time, sex, and the company of others on various psychological and behavioral outcomes pertinent to well-being and performance. The social restrictions necessary to recover from the COVID-19 pandemic presented a novel environment in which to study these effects in the general population</w:t>
      </w:r>
      <w:r w:rsidR="004063D2"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This is potentially novel not only due to the guarantee of anonymity to the experimenters, (the lack of which could bias responses,) but also due to the ongoing lifestyle demands of the subjects which were unique to each of them and provided a way to glean insight into the way people adapt to sustained, novel </w:t>
      </w:r>
      <w:r w:rsidRPr="00322386">
        <w:rPr>
          <w:rFonts w:asciiTheme="majorBidi" w:hAnsiTheme="majorBidi" w:cstheme="majorBidi"/>
          <w:color w:val="000000" w:themeColor="text1"/>
        </w:rPr>
        <w:t>pressures in addition to the pressures they were accustomed to.</w:t>
      </w:r>
    </w:p>
    <w:p w14:paraId="0F2F5C80" w14:textId="77777777"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ab/>
      </w:r>
    </w:p>
    <w:p w14:paraId="3A2B2BC4" w14:textId="5C85070D"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Generalized Effects</w:t>
      </w:r>
    </w:p>
    <w:p w14:paraId="253AD5CC" w14:textId="7D719395"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Analysis demonstrated a very high degree of variability between subjects when compared as an entire group. This well-educated sample population of mostly working adult professionals seemed to meet the challenges of social restrictions with mixed degrees of success. Whether this is due to an underlying resilience (or lack thereof) reflected in their personality</w:t>
      </w:r>
      <w:r w:rsidR="00032F70" w:rsidRPr="00322386">
        <w:rPr>
          <w:rFonts w:asciiTheme="majorBidi" w:hAnsiTheme="majorBidi" w:cstheme="majorBidi"/>
          <w:color w:val="000000" w:themeColor="text1"/>
        </w:rPr>
        <w:t xml:space="preserve"> </w:t>
      </w:r>
      <w:r w:rsidR="00032F70"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{"citationItems":[{"id":"ITEM-1","itemData":{"DOI":"10.1037/amp0000660","ISSN":"1935990X","PMID":"32437181","abstract":"The COVID-19 pandemic poses an acute threat to the well-being of children and families due to challenges related to social disruption such as financial insecurity, caregiving burden, and confinement-related stress (e.g., crowding, changes to structure, and routine). The consequences of these difficulties are likely to be longstanding, in part because of the ways in which contextual risk permeates the structures and processes of family systems. The current article draws from pertinent literature across topic areas of acute crises and long-term, cumulative risk to illustrate the multitude of ways in which the well-being of children and families may be at risk during COVID-19. The presented conceptual framework is based on systemic models of human development and family functioning and links social disruption due to COVID-19 to child adjustment through a cascading process involving caregiver well-being and family processes (i.e., organization, communication, and beliefs). An illustration of the centrality of family processes in buffering against risk in the context of COVID-19, as well as promoting resilience through shared family beliefs and close relationships, is provided. Finally, clinical and research implications are discussed.","author":[{"dropping-particle":"","family":"Prime","given":"Heather","non-dropping-particle":"","parse-names":false,"suffix":""},{"dropping-particle":"","family":"Wade","given":"Mark","non-dropping-particle":"","parse-names":false,"suffix":""},{"dropping-particle":"","family":"Browne","given":"Dillon T.","non-dropping-particle":"","parse-names":false,"suffix":""}],"container-title":"American Psychologist","id":"ITEM-1","issue":"5","issued":{"date-parts":[["2020","7","1"]]},"page":"631-643","publisher":"American Psychological Association Inc.","title":"Risk and resilience in family well-being during the COVID-19 pandemic","type":"article-journal","volume":"75"},"uris":["http://www.mendeley.com/documents/?uuid=937b2bfa-1cd6-3c81-9264-e60142ed2d91"]},{"id":"ITEM-2","itemData":{"DOI":"10.1016/j.actaastro.2017.11.009","ISSN":"00945765","abstract":"Spaceflight to Mars will by far exceed the duration of any previous mission. Although behavioral health risks are routinely highlighted among the most serious threats to crew safety, understanding of specific emotional responses most likely to occur and interfere with mission success has lagged in comparison to other risk domains. Even within the domain of behavioral health, emotional constructs remain to be ‘unpacked’ to the same extent as other factors such as attention and fatigue. The current paper provides a review of previous studies that have examined emotional responses in isolated, confined, extreme environments (ICE) toward informing a needed research agenda. We include research conducted during space flight, long-duration space simulation analogs, and polar environments and utilize a well-established model of emotion and emotion regulation to conceptualize specific findings. Lastly, we propose four specific directions for future research: (1) use of a guiding theoretical framework for evaluating emotion responses in ICE environments; (2) leveraging multi-method approaches to improve the reliability of subjective reports of emotional health; (3) a priori selection of precise emotional constructs to guide measure selection; and (4) focusing on positive in addition to negative emotion in order to provide a more complete understanding of individual risk and resilience.","author":[{"dropping-particle":"","family":"Alfano","given":"Candice A.","non-dropping-particle":"","parse-names":false,"suffix":""},{"dropping-particle":"","family":"Bower","given":"Joanne L.","non-dropping-particle":"","parse-names":false,"suffix":""},{"dropping-particle":"","family":"Cowie","given":"Jennifer","non-dropping-particle":"","parse-names":false,"suffix":""},{"dropping-particle":"","family":"Lau","given":"Simon","non-dropping-particle":"","parse-names":false,"suffix":""},{"dropping-particle":"","family":"Simpson","given":"Richard J.","non-dropping-particle":"","parse-names":false,"suffix":""}],"container-title":"Acta Astronautica","id":"ITEM-2","issued":{"date-parts":[["2018","1","1"]]},"page":"289-299","publisher":"Pergamon","title":"Long-duration space exploration and emotional health: Recommendations for conceptualizing and evaluating risk","type":"article","volume":"142"},"uris":["http://www.mendeley.com/documents/?uuid=3aa8702c-ea93-3f28-8a7b-0c8bcc5cd7e9"]}],"mendeley":{"formattedCitation":"[28], [29]","plainTextFormattedCitation":"[28], [29]","previouslyFormattedCitation":"[27], [28]"},"properties":{"noteIndex":0},"schema":"https://github.com/citation-style-language/schema/raw/master/csl-citation.json"}</w:instrText>
      </w:r>
      <w:r w:rsidR="00032F70"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[28], [29]</w:t>
      </w:r>
      <w:r w:rsidR="00032F70"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or the effect of coping strategies, is impossible to titrate with the current data. It is quite possible that a larger sample size could elucidate statistical differences, but it is unlikely that a </w:t>
      </w:r>
      <w:r w:rsidRPr="00322386">
        <w:rPr>
          <w:rFonts w:asciiTheme="majorBidi" w:hAnsiTheme="majorBidi" w:cstheme="majorBidi"/>
          <w:color w:val="000000" w:themeColor="text1"/>
        </w:rPr>
        <w:lastRenderedPageBreak/>
        <w:t>pandemic of this magnitude will strike again anytime soon</w:t>
      </w:r>
      <w:r w:rsidR="00032F70" w:rsidRPr="00322386">
        <w:rPr>
          <w:rFonts w:asciiTheme="majorBidi" w:hAnsiTheme="majorBidi" w:cstheme="majorBidi"/>
          <w:color w:val="000000" w:themeColor="text1"/>
        </w:rPr>
        <w:t xml:space="preserve"> </w:t>
      </w:r>
      <w:r w:rsidR="008457BD"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{"citationItems":[{"id":"ITEM-1","itemData":{"DOI":"10.1016/J.LANEPE.2021.100210","ISSN":"2666-7762","abstract":"&lt;h2&gt;Abstract&lt;/h2&gt;&lt;p&gt;The majority of emerging infectious diseases originate in animals. Current routine surveillance is focused on known diseases and clinical syndromes, but the increasing likelihood of emerging disease outbreaks shows the critical importance of early detection of unusual illness or circulation of pathogens - prior to human disease manifestation. In this Viewpoint, we focus on one key pillar of preparedness—the need for early warning surveillance at the human, animal, environmental interface. The COVID-19 pandemic has revolutionized the scale of sequencing of pathogen genomes, and the current investments in global genomic surveillance offer great potential for a novel, truly integrated Disease X (with epidemic or pandemic potential) surveillance arm provided we do not make the mistake of developing them solely for the case at hand. Generic tools include metagenomic sequencing as a catch-all technique, rather than detection and sequencing protocols focusing on what we know. Developing agnostic or more targeted metagenomic sequencing to assess unusual disease in humans and animals, combined with random sampling of environmental samples capturing pathogen circulation is technically challenging, but could provide a true early warning system. Rather than rebuilding and reinforcing the pre-existing silo's, a real step forward would be to take the lessons learned and bring in novel essential partnerships in a One Health approach to preparedness.&lt;/p&gt;","author":[{"dropping-particle":"","family":"Aarestrup","given":"Frank M.","non-dropping-particle":"","parse-names":false,"suffix":""},{"dropping-particle":"","family":"Bonten","given":"Marc","non-dropping-particle":"","parse-names":false,"suffix":""},{"dropping-particle":"","family":"Koopmans","given":"Marion","non-dropping-particle":"","parse-names":false,"suffix":""}],"container-title":"The Lancet Regional Health - Europe","id":"ITEM-1","issued":{"date-parts":[["2021","10","1"]]},"page":"100210","publisher":"Elsevier","title":"Pandemics– One Health preparedness for the next","type":"article-journal","volume":"9"},"uris":["http://www.mendeley.com/documents/?uuid=8b20858f-67b5-392e-9c35-5811b97e8411"]}],"mendeley":{"formattedCitation":"[30]","plainTextFormattedCitation":"[30]","previouslyFormattedCitation":"[29]"},"properties":{"noteIndex":0},"schema":"https://github.com/citation-style-language/schema/raw/master/csl-citation.json"}</w:instrText>
      </w:r>
      <w:r w:rsidR="008457BD"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[30]</w:t>
      </w:r>
      <w:r w:rsidR="008457BD"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w:t>
      </w:r>
    </w:p>
    <w:p w14:paraId="5D28B38C" w14:textId="77777777" w:rsidR="006D4E60" w:rsidRPr="00322386" w:rsidRDefault="006D4E60">
      <w:pPr>
        <w:jc w:val="both"/>
        <w:rPr>
          <w:rFonts w:asciiTheme="majorBidi" w:hAnsiTheme="majorBidi" w:cstheme="majorBidi"/>
          <w:color w:val="000000" w:themeColor="text1"/>
        </w:rPr>
      </w:pPr>
    </w:p>
    <w:p w14:paraId="7D7CE3CA" w14:textId="625AE817"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Nevertheless, the data does seem to tease at the notion of individuals with a fortitude against ICE environments. Such individuals have been noted in analogous studies of the same effects </w:t>
      </w:r>
      <w:r w:rsidR="004063D2"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{"citationItems":[{"id":"ITEM-1","itemData":{"DOI":"10.1073/pnas.1212646110","ISSN":"10916490","PMID":"23297197","abstract":"The success of interplanetary human spaceflight will depend on many factors, including the behavioral activity levels, sleep, and circadian timing of crews exposed to prolonged microgravity and confinement. To address the effects of the latter, we used a high-fidelity ground simulation of a Mars mission to objectively track sleep-wake dynamics in a multinational crew of six during 520 d of confined isolation. Measurements included continuous recordings of wrist actigraphy and light exposure (4.396 million min) and weekly computer-based neurobehavioral assessments (n = 888) to identify changes in the crew's activity levels, sleep quantity and quality, sleep-wake periodicity, vigilance performance, and workload throughout the record-long 17 mo of mission confinement. Actigraphy revealed that crew sedentariness increased across the mission as evident in decreased waking movement (i.e., hypokinesis) and increased sleep and rest times. Light exposure decreased during the mission. The majority of crewmembers also experienced one or more disturbances of sleep quality, vigilance deficits, or altered sleep-wake periodicity and timing, suggesting inadequate circadian entrainment. The results point to the need to identify markers of differential vulnerability to hypokinesis and sleep-wake changes during the prolonged isolation of exploration spaceflight and the need to ensure maintenance of circadian entrainment, sleep quantity and quality, and optimal activity levels during exploration missions. Therefore, successful adaptation to such missions will require crew to transit in spacecraft and live in surface habitats that instantiate aspects of Earth's geophysical signals (appropriately timed light exposure, food intake, exercise) required for temporal organization and maintenance of human behavior.","author":[{"dropping-particle":"","family":"Basner","given":"Mathias","non-dropping-particle":"","parse-names":false,"suffix":""},{"dropping-particle":"","family":"Dinges","given":"David F.","non-dropping-particle":"","parse-names":false,"suffix":""},{"dropping-particle":"","family":"Mollicone","given":"Daniel","non-dropping-particle":"","parse-names":false,"suffix":""},{"dropping-particle":"","family":"Ecker","given":"Adrian","non-dropping-particle":"","parse-names":false,"suffix":""},{"dropping-particle":"","family":"Jones","given":"Christopher W.","non-dropping-particle":"","parse-names":false,"suffix":""},{"dropping-particle":"","family":"Hyder","given":"Eric C.","non-dropping-particle":"","parse-names":false,"suffix":""},{"dropping-particle":"","family":"Antonio","given":"Adrian","non-dropping-particle":"Di","parse-names":false,"suffix":""},{"dropping-particle":"","family":"Savelev","given":"Igor","non-dropping-particle":"","parse-names":false,"suffix":""},{"dropping-particle":"","family":"Kan","given":"Kevin","non-dropping-particle":"","parse-names":false,"suffix":""},{"dropping-particle":"","family":"Goel","given":"Namni","non-dropping-particle":"","parse-names":false,"suffix":""},{"dropping-particle":"V.","family":"Morukov","given":"Boris","non-dropping-particle":"","parse-names":false,"suffix":""},{"dropping-particle":"","family":"Sutton","given":"Jeffrey P.","non-dropping-particle":"","parse-names":false,"suffix":""}],"container-title":"Proceedings of the National Academy of Sciences of the United States of America","id":"ITEM-1","issue":"7","issued":{"date-parts":[["2013","2","12"]]},"page":"2635-2640","publisher":"National Academy of Sciences","title":"Mars 520-d mission simulation reveals protracted crew hypokinesis and alterations of sleep duration and timing","type":"article-journal","volume":"110"},"uris":["http://www.mendeley.com/documents/?uuid=5d2b2041-77ff-3489-88b2-78a633bfe5c9"]},{"id":"ITEM-2","itemData":{"DOI":"10.1016/J.ACTAASTRO.2021.09.031","ISSN":"0094-5765","abstract":"For long-duration space missions to be successful, it is necessary to develop an understanding of the psychological factors that promote effective coping in isolated, confined, and extreme (ICE) environments. We evaluated relationships between Big Five personality traits and social functioning (liking one's teammates, social conflict, and social cohesion), anxiety and sad affect, well-being (health and psychological difficulties, symptoms of depression), and attitudes towards the mission and team. These variables were assessed with pre- (N = 105) and post- (N = 34) mission surveys as well as daily reports (N = 74) during the mission. Participants were crew members with a variety of work roles who completed 1- to 18-month missions in one of three stations in Antarctica. Findings indicate that neuroticism is related to increased social conflict, anxiety, and health and psychological problems, as well as more negative perceptions of teammates and social cohesion. Alternately, conscientiousness in particular may predispose crew members to form positive attitudes towards their expedition and may protect against symptoms of depression. These results carry important implications for selecting individuals for Antarctic expeditions and, with necessary caveats, space exploration teams.","author":[{"dropping-particle":"","family":"Fossen","given":"Jenna A.","non-dropping-particle":"Van","parse-names":false,"suffix":""},{"dropping-particle":"","family":"Olenick","given":"Jeffrey","non-dropping-particle":"","parse-names":false,"suffix":""},{"dropping-particle":"","family":"Ayton","given":"Jeffrey","non-dropping-particle":"","parse-names":false,"suffix":""},{"dropping-particle":"","family":"Chang","given":"Chu Hsiang","non-dropping-particle":"","parse-names":false,"suffix":""},{"dropping-particle":"","family":"Kozlowski","given":"Steve W.J.","non-dropping-particle":"","parse-names":false,"suffix":""}],"container-title":"Acta Astronautica","id":"ITEM-2","issued":{"date-parts":[["2021","12","1"]]},"page":"658-670","publisher":"Pergamon","title":"Relationships between personality and social functioning, attitudes towards the team and mission, and well-being in an ICE environment","type":"article-journal","volume":"189"},"uris":["http://www.mendeley.com/documents/?uuid=22efbf9c-77fe-3bdc-bcd9-300ee173182d"]}],"mendeley":{"formattedCitation":"[3], [31]","plainTextFormattedCitation":"[3], [31]","previouslyFormattedCitation":"[3], [30]"},"properties":{"noteIndex":0},"schema":"https://github.com/citation-style-language/schema/raw/master/csl-citation.json"}</w:instrText>
      </w:r>
      <w:r w:rsidR="004063D2"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[3], [31]</w:t>
      </w:r>
      <w:r w:rsidR="004063D2" w:rsidRPr="00322386">
        <w:rPr>
          <w:rFonts w:asciiTheme="majorBidi" w:hAnsiTheme="majorBidi" w:cstheme="majorBidi"/>
          <w:color w:val="000000" w:themeColor="text1"/>
        </w:rPr>
        <w:fldChar w:fldCharType="end"/>
      </w:r>
      <w:r w:rsidR="00CD35FB" w:rsidRPr="00322386">
        <w:rPr>
          <w:rFonts w:asciiTheme="majorBidi" w:hAnsiTheme="majorBidi" w:cstheme="majorBidi"/>
          <w:color w:val="000000" w:themeColor="text1"/>
        </w:rPr>
        <w:t xml:space="preserve">, including similar studies to ours during the COVID-19 pandemic </w:t>
      </w:r>
      <w:r w:rsidR="00CD35FB"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{"citationItems":[{"id":"ITEM-1","itemData":{"DOI":"10.3389/fpsyg.2020.613495","ISSN":"16641078","abstract":"Studies of individuals under conditions of confinement or severe social and physical restrictions have consistently shown deleterious mental health effects but also high levels of adaptability when dealing with such conditions. Considering the role of physical activity and sport in psychological adaptation, this paper describes a longitudinal study to explore to what extent the imposed restrictions due to the outbreak of SARS-CoV-2 may have affected athletes’ mental health outcomes and how far the process of adaptation to confinement conditions is differentially affected depending on whether the sports activity was practiced individually or in a group, and outdoors, indoors, or both. Two hundred and seventy-four athletes were assessed over 7 weeks using the GHQ-28 and an ad hoc survey exploring the practice of physical activity. A mixed-model fixed effects ANCOVA was used to analyze the effects of time, place, and company in which the sport was practiced, with an index of the amount of physical activity expended as a covariate. Results show a significant effect of time in three out of four of the GHQ-28 subscales, in all cases showing a consistent adaptation to conditions over time. Results also show that playing sport indoors, outdoors, or both, and practicing alone vs. with others differentially affect the somatic symptoms exhibited during confinement: Athletes who practiced sport with others showed higher levels of somatic symptoms at the beginning of the set of data but a quicker rate of adaptation. Differences arising from practicing sport alone or with others were more pronounced in the case of indoor sports, which could be related to the fact that physical activity that can be practiced during confinement is more similar to that practiced indoors alone. Implications relating to what sport psychologists and other health professionals may offer to athletes in stressful situations are discussed.","author":[{"dropping-particle":"","family":"Rubio","given":"Víctor J.","non-dropping-particle":"","parse-names":false,"suffix":""},{"dropping-particle":"","family":"Sánchez-Iglesias","given":"Iván","non-dropping-particle":"","parse-names":false,"suffix":""},{"dropping-particle":"","family":"Bueno","given":"Marta","non-dropping-particle":"","parse-names":false,"suffix":""},{"dropping-particle":"","family":"Martin","given":"Gema","non-dropping-particle":"","parse-names":false,"suffix":""}],"container-title":"Frontiers in Psychology","id":"ITEM-1","issued":{"date-parts":[["2021","1","14"]]},"page":"3789","publisher":"Frontiers Media S.A.","title":"Athletes’ Psychological Adaptation to Confinement Due to COVID-19: A Longitudinal Study","type":"article-journal","volume":"11"},"uris":["http://www.mendeley.com/documents/?uuid=8cc0c26f-ee23-3e0a-ad07-e10c94086fcb"]},{"id":"ITEM-2","itemData":{"DOI":"10.1371/journal.pone.0240204","ISBN":"1111111111","ISSN":"19326203","PMID":"33152030","abstract":"Background Public health recommendations and government measures during the COVID-19 pandemic have enforced restrictions on daily-living. While these measures are imperative to abate the spreading of COVID-19, the impact of these restrictions on mental health and emotional wellbeing is undefined. Therefore, an international online survey (ECLB-COVID19) was launched on April 6, 2020 in seven languages to elucidate the impact of COVID-19 restrictions on mental health and emotional wellbeing. Methods The ECLB-COVID19 electronic survey was designed by a steering group of multidisciplinary scientists, following a structured review of the literature. The survey was uploaded and shared on the Google online-survey-platform and was promoted by thirty-five research organizations from Europe, North-Africa, Western-Asia and the Americas. All participants were asked for their mental wellbeing (SWEMWS) and depressive symptoms (SMFQ) with regard to \"during\"and \"before\"home confinement. Results Analysis was conducted on the first 1047 replies (54% women) from Asia (36%), Africa (40%), Europe (21%) and other (3%). The COVID-19 home confinement had a negative effect on both mental-wellbeing and on mood and feelings. Specifically, a significant decrease (p &lt; .001 and Δ% = 9.4%) in total score of the SWEMWS questionnaire was noted. More individuals (+12.89%) reported a low mental wellbeing \"during\"compared to \"before\"home confinement. Furthermore, results from the mood and feelings questionnaire showed a significant increase by 44.9% (p &lt; .001) in SMFQ total score with more people (+10%) showing depressive symptoms \"during\"compared to \"before\"home confinement. Conclusion The ECLB-COVID19 survey revealed an increased psychosocial strain triggered by the home confinement. To mitigate this high risk of mental disorders and to foster an Active and Healthy Confinement Lifestyle (AHCL), a crisis-oriented interdisciplinary intervention is urgently needed.","author":[{"dropping-particle":"","family":"Ammar","given":"Achraf","non-dropping-particle":"","parse-names":false,"suffix":""},{"dropping-particle":"","family":"Mueller","given":"Patrick","non-dropping-particle":"","parse-names":false,"suffix":""},{"dropping-particle":"","family":"Trabelsi","given":"Khaled","non-dropping-particle":"","parse-names":false,"suffix":""},{"dropping-particle":"","family":"Chtourou","given":"Hamdi","non-dropping-particle":"","parse-names":false,"suffix":""},{"dropping-particle":"","family":"Boukhris","given":"Omar","non-dropping-particle":"","parse-names":false,"suffix":""},{"dropping-particle":"","family":"Masmoudi","given":"Liwa","non-dropping-particle":"","parse-names":false,"suffix":""},{"dropping-particle":"","family":"Bouaziz","given":"Bassem","non-dropping-particle":"","parse-names":false,"suffix":""},{"dropping-particle":"","family":"Brach","given":"Michael","non-dropping-particle":"","parse-names":false,"suffix":""},{"dropping-particle":"","family":"Schmicker","given":"Marlen","non-dropping-particle":"","parse-names":false,"suffix":""},{"dropping-particle":"","family":"Bentlage","given":"Ellen","non-dropping-particle":"","parse-names":false,"suffix":""},{"dropping-particle":"","family":"How","given":"Daniella","non-dropping-particle":"","parse-names":false,"suffix":""},{"dropping-particle":"","family":"Ahmed","given":"Mona","non-dropping-particle":"","parse-names":false,"suffix":""},{"dropping-particle":"","family":"Aloui","given":"Asma","non-dropping-particle":"","parse-names":false,"suffix":""},{"dropping-particle":"","family":"Hammouda","given":"Omar","non-dropping-particle":"","parse-names":false,"suffix":""},{"dropping-particle":"","family":"Paineiras-Domingos","given":"Laisa Liane","non-dropping-particle":"","parse-names":false,"suffix":""},{"dropping-particle":"","family":"Braakmanjansen","given":"Annemarie","non-dropping-particle":"","parse-names":false,"suffix":""},{"dropping-particle":"","family":"Wrede","given":"Christian","non-dropping-particle":"","parse-names":false,"suffix":""},{"dropping-particle":"","family":"Bastoni","given":"Sophia","non-dropping-particle":"","parse-names":false,"suffix":""},{"dropping-particle":"","family":"Pernambuco","given":"Carlos Soares","non-dropping-particle":"","parse-names":false,"suffix":""},{"dropping-particle":"","family":"Mataruna-Dos-Santos","given":"Leonardo Jose","non-dropping-particle":"","parse-names":false,"suffix":""},{"dropping-particle":"","family":"Taheri","given":"Morteza","non-dropping-particle":"","parse-names":false,"suffix":""},{"dropping-particle":"","family":"Irandoust","given":"Khadijeh","non-dropping-particle":"","parse-names":false,"suffix":""},{"dropping-particle":"","family":"Khacharem","given":"Aïmen","non-dropping-particle":"","parse-names":false,"suffix":""},{"dropping-particle":"","family":"Bragazzi","given":"Nicola L.","non-dropping-particle":"","parse-names":false,"suffix":""},{"dropping-particle":"","family":"Washif","given":"Jad Adrian","non-dropping-particle":"","parse-names":false,"suffix":""},{"dropping-particle":"","family":"Glenn","given":"Jordan M.","non-dropping-particle":"","parse-names":false,"suffix":""},{"dropping-particle":"","family":"Bott","given":"Nicholas T.","non-dropping-particle":"","parse-names":false,"suffix":""},{"dropping-particle":"","family":"Gargouri","given":"Faiez","non-dropping-particle":"","parse-names":false,"suffix":""},{"dropping-particle":"","family":"Chaari","given":"Lotfi","non-dropping-particle":"","parse-names":false,"suffix":""},{"dropping-particle":"","family":"Batatia","given":"Hadj","non-dropping-particle":"","parse-names":false,"suffix":""},{"dropping-particle":"","family":"Khoshnami","given":"Samira C.","non-dropping-particle":"","parse-names":false,"suffix":""},{"dropping-particle":"","family":"Samara","given":"Evangelia","non-dropping-particle":"","parse-names":false,"suffix":""},{"dropping-particle":"","family":"Zisi","given":"Vasiliki","non-dropping-particle":"","parse-names":false,"suffix":""},{"dropping-particle":"","family":"Sankar","given":"Parasanth","non-dropping-particle":"","parse-names":false,"suffix":""},{"dropping-particle":"","family":"Ahmed","given":"Waseem N.","non-dropping-particle":"","parse-names":false,"suffix":""},{"dropping-particle":"","family":"Ali","given":"Gamal Mohamed","non-dropping-particle":"","parse-names":false,"suffix":""},{"dropping-particle":"","family":"Abdelkarim","given":"Osama","non-dropping-particle":"","parse-names":false,"suffix":""},{"dropping-particle":"","family":"Jarraya","given":"Mohamed","non-dropping-particle":"","parse-names":false,"suffix":""},{"dropping-particle":"","family":"Abed","given":"Kais","non-dropping-particle":"El","parse-names":false,"suffix":""},{"dropping-particle":"","family":"Romdhani","given":"Mohamed","non-dropping-particle":"","parse-names":false,"suffix":""},{"dropping-particle":"","family":"Souissi","given":"Nizar","non-dropping-particle":"","parse-names":false,"suffix":""},{"dropping-particle":"","family":"Gemert-Pijnen","given":"Lisette","non-dropping-particle":"Van","parse-names":false,"suffix":""},{"dropping-particle":"","family":"Bailey","given":"Stephen J.","non-dropping-particle":"","parse-names":false,"suffix":""},{"dropping-particle":"","family":"Moalla","given":"Wassim","non-dropping-particle":"","parse-names":false,"suffix":""},{"dropping-particle":"","family":"Gómez-Raja","given":"Jonathan","non-dropping-particle":"","parse-names":false,"suffix":""},{"dropping-particle":"","family":"Epstein","given":"Monique","non-dropping-particle":"","parse-names":false,"suffix":""},{"dropping-particle":"","family":"Sanderman","given":"Robbert","non-dropping-particle":"","parse-names":false,"suffix":""},{"dropping-particle":"","family":"Schulz","given":"Sebastian","non-dropping-particle":"","parse-names":false,"suffix":""},{"dropping-particle":"","family":"Jerg","given":"Achim","non-dropping-particle":"","parse-names":false,"suffix":""},{"dropping-particle":"","family":"Al-Horani","given":"Ramzi","non-dropping-particle":"","parse-names":false,"suffix":""},{"dropping-particle":"","family":"Mansi","given":"Taysir","non-dropping-particle":"","parse-names":false,"suffix":""},{"dropping-particle":"","family":"Jmail","given":"Mohamed","non-dropping-particle":"","parse-names":false,"suffix":""},{"dropping-particle":"","family":"Barbosa","given":"Fernando","non-dropping-particle":"","parse-names":false,"suffix":""},{"dropping-particle":"","family":"Ferreira-Santos","given":"Fernando","non-dropping-particle":"","parse-names":false,"suffix":""},{"dropping-particle":"","family":"Šimunič","given":"Boštjan","non-dropping-particle":"","parse-names":false,"suffix":""},{"dropping-particle":"","family":"Pišot","given":"Rado","non-dropping-particle":"","parse-names":false,"suffix":""},{"dropping-particle":"","family":"Gaggioli","given":"Andrea","non-dropping-particle":"","parse-names":false,"suffix":""},{"dropping-particle":"","family":"Zmijewski","given":"Piotr","non-dropping-particle":"","parse-names":false,"suffix":""},{"dropping-particle":"","family":"Steinacker","given":"Jürgen M.","non-dropping-particle":"","parse-names":false,"suffix":""},{"dropping-particle":"","family":"Strahler","given":"Jana","non-dropping-particle":"","parse-names":false,"suffix":""},{"dropping-particle":"","family":"Riemann","given":"Laurel","non-dropping-particle":"","parse-names":false,"suffix":""},{"dropping-particle":"","family":"Riemann","given":"Bryan L.","non-dropping-particle":"","parse-names":false,"suffix":""},{"dropping-particle":"","family":"Mueller","given":"Notger","non-dropping-particle":"","parse-names":false,"suffix":""},{"dropping-particle":"","family":"Chamari","given":"Karim","non-dropping-particle":"","parse-names":false,"suffix":""},{"dropping-particle":"","family":"Driss","given":"Tarak","non-dropping-particle":"","parse-names":false,"suffix":""},{"dropping-particle":"","family":"Hoekelmann","given":"Anita","non-dropping-particle":"","parse-names":false,"suffix":""}],"container-title":"PLoS ONE","id":"ITEM-2","issue":"11","issued":{"date-parts":[["2020","11","1"]]},"page":"e0240204","publisher":"Public Library of Science","title":"Psychological consequences of COVID-19 home confinement: The ECLB-COVID19 multicenter study","type":"article-journal","volume":"15"},"uris":["http://www.mendeley.com/documents/?uuid=7f864bc5-4833-3308-841e-a92b10b156b4"]},{"id":"ITEM-3","itemData":{"DOI":"10.1016/j.jenvp.2020.101518","ISSN":"15229610","abstract":"The confinement situation experienced as a result of COVID-19 will have consequences at a psychological level. These consequences can affect emotion recognition because, due to isolation, interactions and social contacts have been drastically reduced. The aim of this study was to find out if there were differences in facial emotion recognition in two groups of young adults, one confined during COVID-19 and the other unconfined. One hundred and sixty-four young adults were tested twice, the first time unconfined, to obtain the baseline, then the sample was divided into two subgroups so that 84 were evaluated in a confined situation and 80 in an unconfined situation. Ekman 60 Faces test, which includes the recognition of the six basic emotions (anger, disgust, fear, happiness, sadness, and surprise) was applied. The main results obtained showed that during the confinement situation there was a significant decrease in the recognition of happiness, and a significant increase in the recognition of sadness and depressed mood. Confinement significantly alters and reduces our social interactions, which can affect our mood as well as our emotional facial recognition. For this reason, health services need to engage in early detection of the psychological effects this situation will have on the population.","author":[{"dropping-particle":"","family":"Meléndez","given":"Juan C.","non-dropping-particle":"","parse-names":false,"suffix":""},{"dropping-particle":"","family":"Satorres","given":"Encarnacion","non-dropping-particle":"","parse-names":false,"suffix":""},{"dropping-particle":"","family":"Reyes-Olmedo","given":"Maria","non-dropping-particle":"","parse-names":false,"suffix":""},{"dropping-particle":"","family":"Delhom","given":"Iraida","non-dropping-particle":"","parse-names":false,"suffix":""},{"dropping-particle":"","family":"Real","given":"Elena","non-dropping-particle":"","parse-names":false,"suffix":""},{"dropping-particle":"","family":"Lora","given":"Yaiza","non-dropping-particle":"","parse-names":false,"suffix":""}],"container-title":"Journal of Environmental Psychology","id":"ITEM-3","issued":{"date-parts":[["2020","12","1"]]},"page":"101518","publisher":"Academic Press","title":"Emotion recognition changes in a confinement situation due to COVID-19","type":"article-journal","volume":"72"},"uris":["http://www.mendeley.com/documents/?uuid=d51c39ee-3bff-3d5c-aa5c-31792687ce35"]}],"mendeley":{"formattedCitation":"[32]–[34]","plainTextFormattedCitation":"[32]–[34]","previouslyFormattedCitation":"[31]–[33]"},"properties":{"noteIndex":0},"schema":"https://github.com/citation-style-language/schema/raw/master/csl-citation.json"}</w:instrText>
      </w:r>
      <w:r w:rsidR="00CD35FB"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[32]–[34]</w:t>
      </w:r>
      <w:r w:rsidR="00CD35FB" w:rsidRPr="00322386">
        <w:rPr>
          <w:rFonts w:asciiTheme="majorBidi" w:hAnsiTheme="majorBidi" w:cstheme="majorBidi"/>
          <w:color w:val="000000" w:themeColor="text1"/>
        </w:rPr>
        <w:fldChar w:fldCharType="end"/>
      </w:r>
      <w:r w:rsidR="004063D2"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Such individuals, whether endowed with inherent personality traits or equipped with intentional behavior strategies, would make ideal crew members for missions in ICE environments if these features could be discovered.</w:t>
      </w:r>
    </w:p>
    <w:p w14:paraId="3B3BA5BC" w14:textId="77777777" w:rsidR="006D4E60" w:rsidRPr="00322386" w:rsidRDefault="006D4E60">
      <w:pPr>
        <w:jc w:val="both"/>
        <w:rPr>
          <w:rFonts w:asciiTheme="majorBidi" w:hAnsiTheme="majorBidi" w:cstheme="majorBidi"/>
          <w:color w:val="000000" w:themeColor="text1"/>
        </w:rPr>
      </w:pPr>
    </w:p>
    <w:p w14:paraId="3201F3BD" w14:textId="766C58C2" w:rsidR="006D4E60" w:rsidRPr="00322386" w:rsidRDefault="00063B85">
      <w:pPr>
        <w:jc w:val="both"/>
        <w:rPr>
          <w:rFonts w:asciiTheme="majorBidi" w:hAnsiTheme="majorBidi" w:cstheme="majorBidi"/>
          <w:i/>
          <w:color w:val="000000" w:themeColor="text1"/>
        </w:rPr>
      </w:pP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Sex Differences</w:t>
      </w:r>
    </w:p>
    <w:p w14:paraId="0FF0609F" w14:textId="4CB7C131"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Outcomes for women were notably worse than those of men</w:t>
      </w:r>
      <w:r w:rsidR="00D13DEE" w:rsidRPr="00322386">
        <w:rPr>
          <w:rFonts w:asciiTheme="majorBidi" w:hAnsiTheme="majorBidi" w:cstheme="majorBidi"/>
          <w:color w:val="000000" w:themeColor="text1"/>
        </w:rPr>
        <w:t xml:space="preserve">, a finding that aligns with emerging data from the COVID-19 pandemic </w:t>
      </w:r>
      <w:r w:rsidR="00D13DEE"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{"citationItems":[{"id":"ITEM-1","itemData":{"DOI":"10.3390/IJERPH18168539","ISSN":"16604601","PMID":"34444288","abstract":"The outbreak of the COVID-19 has brought upon unprecedented challenges to nearly all people around the globe. Yet, people may differ in their risks of social, economic, and health well-being. In this research, we take a gender-difference approach to examine whether and why women suffered greater emotional and life distress than men at the early stage of the COVID-19 outbreak in China. Using a large nationwide Chinese sample, we found that compared to men, women reported higher levels of anxiety and fear, as well as greater life disturbance during the COVID-19 pandemic. Importantly, that women suffered more was partly explained by their higher level of pathogen disgust sensitivity. Our findings highlight the important consequences of gender differences in response to the threat of the COVID-19 pandemic and suggest that policymakers pay more attention to gender inequalities regarding COVID-19 responses.","author":[{"dropping-particle":"","family":"Ding","given":"Yi","non-dropping-particle":"","parse-names":false,"suffix":""},{"dropping-particle":"","family":"Yang","given":"Jie","non-dropping-particle":"","parse-names":false,"suffix":""},{"dropping-particle":"","family":"Ji","given":"Tingting","non-dropping-particle":"","parse-names":false,"suffix":""},{"dropping-particle":"","family":"Guo","given":"Yongyu","non-dropping-particle":"","parse-names":false,"suffix":""}],"container-title":"International Journal of Environmental Research and Public Health 2021, Vol. 18, Page 8539","id":"ITEM-1","issue":"16","issued":{"date-parts":[["2021","8","12"]]},"page":"8539","publisher":"Multidisciplinary Digital Publishing Institute","title":"Women Suffered More Emotional and Life Distress than Men during the COVID-19 Pandemic: The Role of Pathogen Disgust Sensitivity","type":"article-journal","volume":"18"},"uris":["http://www.mendeley.com/documents/?uuid=fd61d48a-295a-312e-97cc-060910f8f68c"]}],"mendeley":{"formattedCitation":"[35]","plainTextFormattedCitation":"[35]","previouslyFormattedCitation":"[34]"},"properties":{"noteIndex":0},"schema":"https://github.com/citation-style-language/schema/raw/master/csl-citation.json"}</w:instrText>
      </w:r>
      <w:r w:rsidR="00D13DEE"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[35]</w:t>
      </w:r>
      <w:r w:rsidR="00D13DEE" w:rsidRPr="00322386">
        <w:rPr>
          <w:rFonts w:asciiTheme="majorBidi" w:hAnsiTheme="majorBidi" w:cstheme="majorBidi"/>
          <w:color w:val="000000" w:themeColor="text1"/>
        </w:rPr>
        <w:fldChar w:fldCharType="end"/>
      </w:r>
      <w:r w:rsidR="00CD35F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It is possible that an unintended sampling bias owing to the relative few men at a given survey time point is responsible for some of these effects, but the weight of the evidence seems to support the notion of significant sex differences favoring men in ICE environments and analogs</w:t>
      </w:r>
      <w:r w:rsidR="00CD35F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Women showed higher levels of depression, anxiety, tension, and fatigue</w:t>
      </w:r>
      <w:r w:rsidR="00681DF8" w:rsidRPr="00322386">
        <w:rPr>
          <w:rFonts w:asciiTheme="majorBidi" w:hAnsiTheme="majorBidi" w:cstheme="majorBidi"/>
          <w:color w:val="000000" w:themeColor="text1"/>
        </w:rPr>
        <w:t xml:space="preserve">, also keeping with previous studies </w:t>
      </w:r>
      <w:r w:rsidR="00681DF8"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{"citationItems":[{"id":"ITEM-1","itemData":{"DOI":"10.1089/JWH.2014.4911/ASSET/IMAGES/LARGE/FIGURE6.JPEG","ISSN":"1931843X","PMID":"25259837","abstract":"This article is part of a larger body of work entitled, \"The Impact of Sex and Gender on Adaptation to Space.\" It was developed in response to a recommendation from the 2011 National Academy of Sciences Decadal Survey, \"Recapturing a Future for Space Exploration: Life and Physical Sciences for a New Era,\" which emphasized the need to fully understand sex and gender differences. In this article, our workgroup - consisting of expert scientists and clinicians from academia and the private sector - investigated and summarized the current body of published and unpublished human research performed to date related to sex- and gender-based differences in behavioral adaptations to human spaceflight. This review identifies sex-related differences in: (1) sleep, circadian rhythms, and neurobehavioral measures; (2) personality, group interactions, and work performance and satisfaction; and (3) stress and clinical disorders. Differences in these areas substantially impact the risks and optimal medical care required by space-faring women. To ensure the health and safety of male and female astronauts during long-duration space missions, it is imperative to understand the influences that sex and gender have on behavioral health changes occurring during spaceflight.","author":[{"dropping-particle":"","family":"Goel","given":"Namni","non-dropping-particle":"","parse-names":false,"suffix":""},{"dropping-particle":"","family":"Bale","given":"Tracy L.","non-dropping-particle":"","parse-names":false,"suffix":""},{"dropping-particle":"","family":"Epperson","given":"C. Neill","non-dropping-particle":"","parse-names":false,"suffix":""},{"dropping-particle":"","family":"Kornstein","given":"Susan G.","non-dropping-particle":"","parse-names":false,"suffix":""},{"dropping-particle":"","family":"Leon","given":"Gloria R.","non-dropping-particle":"","parse-names":false,"suffix":""},{"dropping-particle":"","family":"Palinkas","given":"Lawrence A.","non-dropping-particle":"","parse-names":false,"suffix":""},{"dropping-particle":"","family":"Stuster","given":"Jack W.","non-dropping-particle":"","parse-names":false,"suffix":""},{"dropping-particle":"","family":"Dinges","given":"David F.","non-dropping-particle":"","parse-names":false,"suffix":""}],"container-title":"Journal of Women's Health","id":"ITEM-1","issue":"11","issued":{"date-parts":[["2014","11","1"]]},"page":"975-986","publisher":"Mary Ann Liebert Inc.","title":"Effects of sex and gender on adaptation to space: Behavioral health","type":"article-journal","volume":"23"},"uris":["http://www.mendeley.com/documents/?uuid=6df081bf-145d-3b25-b86d-5e1b7a0baabb"]}],"mendeley":{"formattedCitation":"[36]","plainTextFormattedCitation":"[36]","previouslyFormattedCitation":"[35]"},"properties":{"noteIndex":0},"schema":"https://github.com/citation-style-language/schema/raw/master/csl-citation.json"}</w:instrText>
      </w:r>
      <w:r w:rsidR="00681DF8"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[36]</w:t>
      </w:r>
      <w:r w:rsidR="00681DF8" w:rsidRPr="00322386">
        <w:rPr>
          <w:rFonts w:asciiTheme="majorBidi" w:hAnsiTheme="majorBidi" w:cstheme="majorBidi"/>
          <w:color w:val="000000" w:themeColor="text1"/>
        </w:rPr>
        <w:fldChar w:fldCharType="end"/>
      </w:r>
      <w:r w:rsidR="0060198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Their vigor and sleep quality </w:t>
      </w:r>
      <w:r w:rsidR="00601980" w:rsidRPr="00322386">
        <w:rPr>
          <w:rFonts w:asciiTheme="majorBidi" w:hAnsiTheme="majorBidi" w:cstheme="majorBidi"/>
          <w:color w:val="000000" w:themeColor="text1"/>
        </w:rPr>
        <w:t>were</w:t>
      </w:r>
      <w:r w:rsidRPr="00322386">
        <w:rPr>
          <w:rFonts w:asciiTheme="majorBidi" w:hAnsiTheme="majorBidi" w:cstheme="majorBidi"/>
          <w:color w:val="000000" w:themeColor="text1"/>
        </w:rPr>
        <w:t xml:space="preserve"> lower than that of men</w:t>
      </w:r>
      <w:r w:rsidR="001E18CB" w:rsidRPr="00322386">
        <w:rPr>
          <w:rFonts w:asciiTheme="majorBidi" w:hAnsiTheme="majorBidi" w:cstheme="majorBidi"/>
          <w:color w:val="000000" w:themeColor="text1"/>
        </w:rPr>
        <w:t xml:space="preserve">, and sleep is a factor of health </w:t>
      </w:r>
      <w:r w:rsidR="001E18CB"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{"citationItems":[{"id":"ITEM-1","itemData":{"DOI":"10.1038/srep14920","ISSN":"2045-2322","PMID":"26446681","abstract":"Short sleep duration is a risk factor for increased hunger and caloric intake, late-night eating, attenuated fat loss when dieting and for weight gain and obesity. It is unknown whether altered energy-balance responses to sleep loss are stable (phenotypic) over time and the extent to which individuals differ in vulnerability to such responses. Healthy adults experienced two laboratory exposures to sleep restriction separated by 60–2132 days. Caloric intake, meal timing and weight were objectively measured. Although there were substantial phenotypic differences among participants in weight gain, increased caloric intake and late-night eating and fat intake, responses within participants showed stability across sleep restriction exposures. Weight change was consistent in both normal-weight and overweight adults. Weight change and increased caloric intake were more stable in men whereas late-night eating was consistent in both genders. This is the first evidence of phenotypic differential vulnerability and trait-like stability of energy balance responses to repeated sleep restriction, underscoring the need for biomarkers and countermeasures to predict and mitigate this vulnerability.","author":[{"dropping-particle":"","family":"Spaeth","given":"Andrea M.","non-dropping-particle":"","parse-names":false,"suffix":""},{"dropping-particle":"","family":"Dinges","given":"David F.","non-dropping-particle":"","parse-names":false,"suffix":""},{"dropping-particle":"","family":"Goel","given":"Namni","non-dropping-particle":"","parse-names":false,"suffix":""}],"container-title":"Scientific Reports 2015 5:1","id":"ITEM-1","issue":"1","issued":{"date-parts":[["2015","10","8"]]},"page":"1-7","publisher":"Nature Publishing Group","title":"Phenotypic vulnerability of energy balance responses to sleep loss in healthy adults","type":"article-journal","volume":"5"},"uris":["http://www.mendeley.com/documents/?uuid=79edc6e2-a297-3a7e-a09d-e244e34784df"]},{"id":"ITEM-2","itemData":{"DOI":"10.1007/978-3-319-10152-1_121-2","author":[{"dropping-particle":"","family":"Dinges","given":"David F.","non-dropping-particle":"","parse-names":false,"suffix":""}],"container-title":"Handbook of Bioastronautics","id":"ITEM-2","issued":{"date-parts":[["2020"]]},"page":"1-4","publisher":"Springer, Cham","title":"Behavioral Health and Performance: An Overview","type":"chapter"},"uris":["http://www.mendeley.com/documents/?uuid=03224483-b455-327f-a328-ec7af2fbe3b3"]}],"mendeley":{"formattedCitation":"[37], [38]","plainTextFormattedCitation":"[37], [38]","previouslyFormattedCitation":"[36], [37]"},"properties":{"noteIndex":0},"schema":"https://github.com/citation-style-language/schema/raw/master/csl-citation.json"}</w:instrText>
      </w:r>
      <w:r w:rsidR="001E18CB"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[37], [38]</w:t>
      </w:r>
      <w:r w:rsidR="001E18CB"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They also reported drinking more liquor</w:t>
      </w:r>
      <w:r w:rsidR="0060198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Men, in contrast, exercised more (a proven strategy in ICE resilience </w:t>
      </w:r>
      <w:r w:rsidR="00601980"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{"citationItems":[{"id":"ITEM-1","itemData":{"DOI":"10.1371/journal.pone.0126356","ISSN":"19326203","PMID":"25961821","abstract":"Introduction: Mental impairments, including deterioration of mood and cognitive performance, are known to occur during isolation and space missions, but have been insufficiently investigated. Appropriate countermeasures are required, such as exercise, which is known to prevent mood disorders for prolonged space and isolation missions. Based on the interaction of brain activity, mood and cognitive performance, this study aims to investigate the effect of long-term isolation and confinement and the long-term effect of exercise on these parameters. Methods: Eight male volunteers were isolated and confined for about eight month during the winter period at the Antarctic Concordia Station. Every six weeks electroencephalographic measurements were recorded under rest conditions, and cognitive tests and a mood questionnaire were executed. Based individual training logs, subjects were afterwards separated into an active (&gt; 2500 arbitrary training units/interval) or inactive (&lt; 2500 arbitrary training units/interval) group. Results: A long-term effect of exercise was observed for brain activity and mood. Regularly active people showed a decreased brain activity (alpha and beta) in the course of isolation, and steady mood. Inactive people instead first increased and than remained at high brain activity accompanied with a deterioration of mood. No effect of exercise and isolation was found for cognitive performance. Conclusion: The findings point out the positive effect of regularly performed voluntary exercise, supporting subjective mental well-being of long-term isolated people. The choice to be regularly active seems to support mental health, which is not only of interest for future isolation and space missions.","author":[{"dropping-particle":"","family":"Abeln","given":"Vera","non-dropping-particle":"","parse-names":false,"suffix":""},{"dropping-particle":"","family":"MacDonald-Nethercott","given":"Eoin","non-dropping-particle":"","parse-names":false,"suffix":""},{"dropping-particle":"","family":"Piacentini","given":"Maria Francesca","non-dropping-particle":"","parse-names":false,"suffix":""},{"dropping-particle":"","family":"Meeusen","given":"Romain","non-dropping-particle":"","parse-names":false,"suffix":""},{"dropping-particle":"","family":"Kleinert","given":"Jens","non-dropping-particle":"","parse-names":false,"suffix":""},{"dropping-particle":"","family":"Strueder","given":"Heiko K.","non-dropping-particle":"","parse-names":false,"suffix":""},{"dropping-particle":"","family":"Schneider","given":"Stefan","non-dropping-particle":"","parse-names":false,"suffix":""}],"container-title":"PLoS ONE","id":"ITEM-1","issue":"5","issued":{"date-parts":[["2015","5","11"]]},"publisher":"PLoS One","title":"Exercise in isolation- A countermeasure for electrocortical, mental and cognitive impairments","type":"article-journal","volume":"10"},"uris":["http://www.mendeley.com/documents/?uuid=ef735a93-cc2a-3827-a3ce-17047a4ac745"]},{"id":"ITEM-2","itemData":{"DOI":"10.1016/j.bbr.2010.03.034","ISSN":"01664328","PMID":"20346985","abstract":"Confinement studies are performed to simulate the psychological effects that may be experienced on a long-term space flight. A general psycho-physiological model assumes that mood and cognitive functioning are impaired during confinement as a result of an absence of physical activity. The aim of the MARS500 study initiated by the Institute of Biomedical Problems (IBMP) and the European Space Agency (ESA) is to gather data, knowledge and experience to help prepare for a real mission to Mars. A test run with 105 days of isolation was performed prior to 520 days of isolation. Psycho-physiological data of this study are presented here. We hypothesized that exercise, as it has been shown in laboratory settings, would be able to prevent and counteract mood changes during isolation.Electrocortical data (EEG) and a self report on current psychological and physical state were recorded several times prior to and after exercise during the isolation period.Data revealed a clear effect of exercise on mood and electrocortical activity. Moreover, it was shown that mood and brain cortical activity decreased during the first 11 weeks of isolation and reached baseline again in the last week of isolation. A correlation analysis revealed a significant relation between mood data and electrocortical activity.We conclude (1) that confinement is accompanied by psycho-physiological changes and (2) that exercise is a suitable method to counteract psycho-physiological deconditioning during confinement. © 2010 Elsevier B.V.","author":[{"dropping-particle":"","family":"Schneider","given":"Stefan","non-dropping-particle":"","parse-names":false,"suffix":""},{"dropping-particle":"","family":"Brümmer","given":"Vera","non-dropping-particle":"","parse-names":false,"suffix":""},{"dropping-particle":"","family":"Carnahan","given":"Heather","non-dropping-particle":"","parse-names":false,"suffix":""},{"dropping-particle":"","family":"Kleinert","given":"Jens","non-dropping-particle":"","parse-names":false,"suffix":""},{"dropping-particle":"","family":"Piacentini","given":"Maria Francesca","non-dropping-particle":"","parse-names":false,"suffix":""},{"dropping-particle":"","family":"Meeusen","given":"Romain","non-dropping-particle":"","parse-names":false,"suffix":""},{"dropping-particle":"","family":"Strüder","given":"Heiko K.","non-dropping-particle":"","parse-names":false,"suffix":""}],"container-title":"Behavioural Brain Research","id":"ITEM-2","issue":"2","issued":{"date-parts":[["2010","8","25"]]},"page":"208-214","publisher":"Elsevier","title":"Exercise as a countermeasure to psycho-physiological deconditioning during long-term confinement","type":"article-journal","volume":"211"},"uris":["http://www.mendeley.com/documents/?uuid=75e6b18f-e342-3ab0-951a-96169f72e7d8"]}],"mendeley":{"formattedCitation":"[39], [40]","plainTextFormattedCitation":"[39], [40]","previouslyFormattedCitation":"[38], [39]"},"properties":{"noteIndex":0},"schema":"https://github.com/citation-style-language/schema/raw/master/csl-citation.json"}</w:instrText>
      </w:r>
      <w:r w:rsidR="00601980"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[39], [40]</w:t>
      </w:r>
      <w:r w:rsidR="00601980"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and more vigorously.  Men reported drinking more coffee. While men’s anxiety scores steadily diminished over time, women’s anxiety scores either </w:t>
      </w:r>
      <w:r w:rsidR="00032F70" w:rsidRPr="00322386">
        <w:rPr>
          <w:rFonts w:asciiTheme="majorBidi" w:hAnsiTheme="majorBidi" w:cstheme="majorBidi"/>
          <w:color w:val="000000" w:themeColor="text1"/>
        </w:rPr>
        <w:t>held</w:t>
      </w:r>
      <w:r w:rsidRPr="00322386">
        <w:rPr>
          <w:rFonts w:asciiTheme="majorBidi" w:hAnsiTheme="majorBidi" w:cstheme="majorBidi"/>
          <w:color w:val="000000" w:themeColor="text1"/>
        </w:rPr>
        <w:t xml:space="preserve"> steadfast or increased. </w:t>
      </w:r>
    </w:p>
    <w:p w14:paraId="13B767C4" w14:textId="77777777" w:rsidR="006D4E60" w:rsidRPr="00322386" w:rsidRDefault="006D4E60">
      <w:pPr>
        <w:jc w:val="both"/>
        <w:rPr>
          <w:rFonts w:asciiTheme="majorBidi" w:hAnsiTheme="majorBidi" w:cstheme="majorBidi"/>
          <w:color w:val="000000" w:themeColor="text1"/>
        </w:rPr>
      </w:pPr>
    </w:p>
    <w:p w14:paraId="7E147FEC" w14:textId="4403B3AC"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One could speculate that these outcomes reflect a more gregarious inclination in women</w:t>
      </w:r>
      <w:r w:rsidR="00D13DEE" w:rsidRPr="00322386">
        <w:rPr>
          <w:rFonts w:asciiTheme="majorBidi" w:hAnsiTheme="majorBidi" w:cstheme="majorBidi"/>
          <w:color w:val="000000" w:themeColor="text1"/>
        </w:rPr>
        <w:t xml:space="preserve"> </w:t>
      </w:r>
      <w:r w:rsidR="00D13DEE"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{"citationItems":[{"id":"ITEM-1","itemData":{"DOI":"10.1016/J.JEBO.2021.03.016","ISSN":"0167-2681","abstract":"We study how the random assignment of new students to introductory-week groups shapes subsequent friendship networks. Both women and men report being much more likely to be friends with same-gender students with whom they were (randomly) assigned in a group during their first week on campus, and the effect is much stronger for women. When students from the same cohort play a repeated trust game in the experimental laboratory, their behavior helps explain what we observed in the field. Women display more stability and less flexibility than men in their interactions with individuals with whom they had previously played. This difference is enough to generate homophily in the observational data even though subjects show no intrinsic preference for same-gender interaction.","author":[{"dropping-particle":"","family":"Friebel","given":"Guido","non-dropping-particle":"","parse-names":false,"suffix":""},{"dropping-particle":"","family":"Lalanne","given":"Marie","non-dropping-particle":"","parse-names":false,"suffix":""},{"dropping-particle":"","family":"Richter","given":"Bernard","non-dropping-particle":"","parse-names":false,"suffix":""},{"dropping-particle":"","family":"Schwardmann","given":"Peter","non-dropping-particle":"","parse-names":false,"suffix":""},{"dropping-particle":"","family":"Seabright","given":"Paul","non-dropping-particle":"","parse-names":false,"suffix":""}],"container-title":"Journal of Economic Behavior &amp; Organization","id":"ITEM-1","issued":{"date-parts":[["2021","6","1"]]},"page":"33-45","publisher":"North-Holland","title":"Gender differences in social interactions","type":"article-journal","volume":"186"},"uris":["http://www.mendeley.com/documents/?uuid=f7a57c3d-5ada-3c11-babd-814482c0bb85"]}],"mendeley":{"formattedCitation":"[41]","plainTextFormattedCitation":"[41]","previouslyFormattedCitation":"[40]"},"properties":{"noteIndex":0},"schema":"https://github.com/citation-style-language/schema/raw/master/csl-citation.json"}</w:instrText>
      </w:r>
      <w:r w:rsidR="00D13DEE"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[41]</w:t>
      </w:r>
      <w:r w:rsidR="00D13DEE"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and that social restrictions would more strongly effect those who are more socially inclined, though it should be noted that both sexes reported similar loneliness. Another explanation is suggested by the evidence that women believed the COVID-19 crisis would last longer than men did</w:t>
      </w:r>
      <w:r w:rsidR="0060198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Men tended to show higher trust in the authorities responsible for guiding us out of the crisis, and could therefore have resigned themselves to a more hopeful disposition. </w:t>
      </w:r>
    </w:p>
    <w:p w14:paraId="737C8A00" w14:textId="77777777" w:rsidR="006D4E60" w:rsidRPr="00322386" w:rsidRDefault="006D4E60">
      <w:pPr>
        <w:jc w:val="both"/>
        <w:rPr>
          <w:rFonts w:asciiTheme="majorBidi" w:hAnsiTheme="majorBidi" w:cstheme="majorBidi"/>
          <w:color w:val="000000" w:themeColor="text1"/>
        </w:rPr>
      </w:pPr>
    </w:p>
    <w:p w14:paraId="0BC71937" w14:textId="77777777"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ab/>
      </w:r>
      <w:r w:rsidRPr="00322386">
        <w:rPr>
          <w:rFonts w:asciiTheme="majorBidi" w:hAnsiTheme="majorBidi" w:cstheme="majorBidi"/>
          <w:i/>
          <w:color w:val="000000" w:themeColor="text1"/>
        </w:rPr>
        <w:t>The Effect of Others</w:t>
      </w:r>
    </w:p>
    <w:p w14:paraId="713C08B1" w14:textId="304B5A6A"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 xml:space="preserve">It is clear from this data that social dynamics play an important role in human health. Individuals who reported living alone, and thus potentially removed from </w:t>
      </w:r>
      <w:r w:rsidRPr="00322386">
        <w:rPr>
          <w:rFonts w:asciiTheme="majorBidi" w:hAnsiTheme="majorBidi" w:cstheme="majorBidi"/>
          <w:color w:val="000000" w:themeColor="text1"/>
        </w:rPr>
        <w:t>professional and personal contacts, reported higher levels of depression, anxiety, liquor consumption, and loneliness</w:t>
      </w:r>
      <w:r w:rsidR="0060198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They demonstrated lower vigor and sleep quality</w:t>
      </w:r>
      <w:r w:rsidR="0060198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While people living alone reported more time spent performing vigorous exercise, they also spent more time sitting</w:t>
      </w:r>
      <w:r w:rsidR="0060198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Work from </w:t>
      </w:r>
      <w:proofErr w:type="spellStart"/>
      <w:r w:rsidRPr="00322386">
        <w:rPr>
          <w:rFonts w:asciiTheme="majorBidi" w:hAnsiTheme="majorBidi" w:cstheme="majorBidi"/>
          <w:color w:val="000000" w:themeColor="text1"/>
        </w:rPr>
        <w:t>Borrega-Mouquinho</w:t>
      </w:r>
      <w:proofErr w:type="spellEnd"/>
      <w:r w:rsidRPr="00322386">
        <w:rPr>
          <w:rFonts w:asciiTheme="majorBidi" w:hAnsiTheme="majorBidi" w:cstheme="majorBidi"/>
          <w:color w:val="000000" w:themeColor="text1"/>
        </w:rPr>
        <w:t xml:space="preserve"> et. al. (2021) on the effect of high- vs. moderate intensity at-home exercise during the pandemic indicated that greater intensity was associated with greater psychological benefits, yet this did not appear to outweigh the effect of living alone in our data set</w:t>
      </w:r>
      <w:r w:rsidR="00601980" w:rsidRPr="00322386">
        <w:rPr>
          <w:rFonts w:asciiTheme="majorBidi" w:hAnsiTheme="majorBidi" w:cstheme="majorBidi"/>
          <w:color w:val="000000" w:themeColor="text1"/>
        </w:rPr>
        <w:t xml:space="preserve"> </w:t>
      </w:r>
      <w:r w:rsidR="00601980"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{"citationItems":[{"id":"ITEM-1","itemData":{"DOI":"10.3389/fpsyg.2021.643069","ISSN":"16641078","abstract":"Objective: This study aimed to compare the effects of two intervention programs, (1) high-intensity interval training (HIIT) and (2) moderate-intensity training (MIT), on anxiety, depression, stress, and resilience during the confinement caused by the coronavirus disease 2019 (COVID-19) in healthy adults. Methods: A total of 67 adults who participated were randomly assigned to two groups: HIIT and MIT groups. The MIT group had to perform a home-based intervention based on aerobic exercises, whereas the HIIT group had to perform a home-based intervention based on HIIT exercises. The two groups (HIIT and MIT) had to complete the same physical exercise volume, 40 min per session (6 days per week) during the confinement period (6 weeks). Depression, anxiety, stress, and resilience were assessed before and after the intervention. Results: Results showed that HIIT and MIT significantly reduced the stress, anxiety, and depression as well as increase the resilience (p &lt; 0.05). Moreover, the improvements obtained in the HIIT group seem to be greater than those of the MIT group in depression (p &lt; 0.05). Conclusions: HIIT and MIT decreased anxiety, stress, and depression as well as increased resilience during the COVID-19 confinement. In addition, the HIIT intervention seemed to be more beneficial to reduce depression than the MIT intervention.","author":[{"dropping-particle":"","family":"Borrega-Mouquinho","given":"Yolanda","non-dropping-particle":"","parse-names":false,"suffix":""},{"dropping-particle":"","family":"Sánchez-Gómez","given":"Jesús","non-dropping-particle":"","parse-names":false,"suffix":""},{"dropping-particle":"","family":"Fuentes-García","given":"Juan Pedro","non-dropping-particle":"","parse-names":false,"suffix":""},{"dropping-particle":"","family":"Collado-Mateo","given":"Daniel","non-dropping-particle":"","parse-names":false,"suffix":""},{"dropping-particle":"","family":"Villafaina","given":"Santos","non-dropping-particle":"","parse-names":false,"suffix":""}],"container-title":"Frontiers in Psychology","id":"ITEM-1","issued":{"date-parts":[["2021","2","24"]]},"page":"270","publisher":"Frontiers Media S.A.","title":"Effects of High-Intensity Interval Training and Moderate-Intensity Training on Stress, Depression, Anxiety, and Resilience in Healthy Adults During Coronavirus Disease 2019 Confinement: A Randomized Controlled Trial","type":"article-journal","volume":"12"},"uris":["http://www.mendeley.com/documents/?uuid=643f283f-8a05-31ce-93e3-0377450eea56"]}],"mendeley":{"formattedCitation":"[42]","plainTextFormattedCitation":"[42]","previouslyFormattedCitation":"[41]"},"properties":{"noteIndex":0},"schema":"https://github.com/citation-style-language/schema/raw/master/csl-citation.json"}</w:instrText>
      </w:r>
      <w:r w:rsidR="00601980"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[42]</w:t>
      </w:r>
      <w:r w:rsidR="00601980"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w:t>
      </w:r>
    </w:p>
    <w:p w14:paraId="27265853" w14:textId="77777777" w:rsidR="006D4E60" w:rsidRPr="00322386" w:rsidRDefault="006D4E60">
      <w:pPr>
        <w:jc w:val="both"/>
        <w:rPr>
          <w:rFonts w:asciiTheme="majorBidi" w:hAnsiTheme="majorBidi" w:cstheme="majorBidi"/>
          <w:color w:val="000000" w:themeColor="text1"/>
        </w:rPr>
      </w:pPr>
    </w:p>
    <w:p w14:paraId="051742E5" w14:textId="28EC95BF"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These findings only underscore the volumes of data indicating the critical importance of our social structures to our well-being</w:t>
      </w:r>
      <w:r w:rsidR="00FF1536" w:rsidRPr="00322386">
        <w:rPr>
          <w:rFonts w:asciiTheme="majorBidi" w:hAnsiTheme="majorBidi" w:cstheme="majorBidi"/>
          <w:color w:val="000000" w:themeColor="text1"/>
        </w:rPr>
        <w:t xml:space="preserve"> </w:t>
      </w:r>
      <w:r w:rsidR="00032F70" w:rsidRPr="00322386">
        <w:rPr>
          <w:rFonts w:asciiTheme="majorBidi" w:hAnsiTheme="majorBidi" w:cstheme="majorBidi"/>
          <w:color w:val="000000" w:themeColor="text1"/>
        </w:rPr>
        <w:fldChar w:fldCharType="begin" w:fldLock="1"/>
      </w:r>
      <w:r w:rsidR="00681DF8" w:rsidRPr="00322386">
        <w:rPr>
          <w:rFonts w:asciiTheme="majorBidi" w:hAnsiTheme="majorBidi" w:cstheme="majorBidi"/>
          <w:color w:val="000000" w:themeColor="text1"/>
        </w:rPr>
        <w:instrText>ADDIN CSL_CITATION {"citationItems":[{"id":"ITEM-1","itemData":{"DOI":"10.1111/j.1749-6632.1997.tb51917.x","ISSN":"00778923","PMID":"9071348","abstract":"Nonnoxious sensory stimulation associated with friendly social interaction induces a psychophysiological response pattern involving sedation, relaxation, decreased sympathoadrenal activity, and increased vagal nerve tone and thereby an endocrine and metabolic pattern favoring the storage of nutrients and growth. It is suggested that oxytocin released from parvocellular neurons in the paraventricular nucleus (PVN) in response to nonnoxious stimulation integrates this response pattern at the hypothalamic level. The response pattern just described characterized by calm, relaxation, and anabolic metabolism could be regarded as an antithesis to the well known fight-flight response in which mental activation, locomotor activity, and catabolic metabolism are expressed. Furthermore, the health-promoting aspect of friendly and supportive relationships might be a consequence of repetitive exposure to nonnoxious sensory stimulation causing the physiological endocrine and behavioral changes just described.","author":[{"dropping-particle":"","family":"Uvnäs-Moberg","given":"Kerstin","non-dropping-particle":"","parse-names":false,"suffix":""}],"container-title":"Annals of the New York Academy of Sciences","id":"ITEM-1","issue":"1","issued":{"date-parts":[["1997","1","1"]]},"page":"146-163","publisher":"John Wiley &amp; Sons, Ltd","title":"Physiological and endocrine effects of social contact","type":"paper-conference","volume":"807"},"uris":["http://www.mendeley.com/documents/?uuid=b40df929-f9d4-3db7-a144-5b91cbe00905"]},{"id":"ITEM-2","itemData":{"DOI":"10.1086/514478","ISSN":"00377961","abstract":"Research examining the relationship between social support and psychological well-being has largely ignored the negative side of social interactions. However, empirical evidence suggests that negative interactions can potentially be more harmful than social support is helpful. This article critically reviews the literature investigating the relationship between social support and negative social interactions and their simultaneous effect on psychological well-being. A review of 28 studies revealed that there are conceptual, theoretical, and methodological limitations associated with this body of research. In order to unravel some of these limitations, studies are grouped according to three conceptual models: the additive effects model, the moderator model, and the domain-specific model. Finally, the article discusses directions social work practice research should take to tackle and fully appreciate the complexities of the relationship between social support and psychological well-being.","author":[{"dropping-particle":"","family":"Lincoln","given":"Karen D.","non-dropping-particle":"","parse-names":false,"suffix":""}],"container-title":"Social Service Review","id":"ITEM-2","issue":"2","issued":{"date-parts":[["2000","7","19"]]},"page":"231-252","publisher":"The University of Chicago Press","title":"Social support, negative social interactions, and psychological well-being","type":"article-journal","volume":"74"},"uris":["http://www.mendeley.com/documents/?uuid=5d35e952-5759-3998-815f-84b4092fb473"]},{"id":"ITEM-3","itemData":{"DOI":"10.1080/13607863.2012.742490","ISSN":"13607863","PMID":"23186534","abstract":"Social capital has previously been reviewed in relation to mental health. However, none have focused specifically on positive aspects of mental health such as mental well-being. This review aimed to explore the relationship between social capital and mental well-being in older people. Ten relevant databases were systematically searched using an extensive search strategy for studies, analyzing the link between social capital and mental well-being. Criteria for inclusion in the systematic review were: the study sample included older people (≥50 years); the study reported a mental well-being outcome; social capital was an exposure variable; and empirical research using quantitative methods and published in English, between January 1990 and September 2011. Eleven studies met the inclusion criteria. Each study was assessed against seven possible exposure measures (structural, cognitive; bonding, bridging, linking; individual, collective). The results showed that all included studies found positive associations between parts of social capital and aspects of mental well-being. Typically, the relationship between social capital and mental well-being differed within as well as between studies. Our results highlight that there is no gold standard of how to measure social capital or mental well-being. Social capital is generated in the interaction between individual and collective life. A possibility for future research is therefore to follow Bronfenbrenner's classical division into macro, meso, and micro levels. We consider family and friends at the micro level to be the key factors in generating social capital and well-being in older people. © 2013 Taylor &amp; Francis Group, LLC.","author":[{"dropping-particle":"","family":"Nyqvist","given":"Fredrica","non-dropping-particle":"","parse-names":false,"suffix":""},{"dropping-particle":"","family":"Forsman","given":"Anna K.","non-dropping-particle":"","parse-names":false,"suffix":""},{"dropping-particle":"","family":"Giuntoli","given":"Gianfranco","non-dropping-particle":"","parse-names":false,"suffix":""},{"dropping-particle":"","family":"Cattan","given":"Mima","non-dropping-particle":"","parse-names":false,"suffix":""}],"container-title":"Aging and Mental Health","id":"ITEM-3","issue":"4","issued":{"date-parts":[["2013","5","1"]]},"page":"394-410","publisher":"Taylor &amp; Francis Group","title":"Social capital as a resource for mental well-being in older people: A systematic review","type":"article","volume":"17"},"uris":["http://www.mendeley.com/documents/?uuid=f89e52cd-f1a7-3b34-a9f9-76ae1730894f"]},{"id":"ITEM-4","itemData":{"DOI":"10.1016/S2352-4642(20)30186-3","ISSN":"23524642","PMID":"32540024","abstract":"Adolescence (the stage between 10 and 24 years) is a period of life characterised by heightened sensitivity to social stimuli and the increased need for peer interaction. The physical distancing measures mandated globally to contain the spread of COVID-19 are radically reducing adolescents' opportunities to engage in face-to-face social contact outside their household. In this interdisciplinary Viewpoint, we describe literature from a variety of domains that highlight how social deprivation in adolescence might have far-reaching consequences. Human studies have shown the importance of peer acceptance and peer influence in adolescence. Animal research has shown that social deprivation and isolation have unique effects on brain and behaviour in adolescence compared with other stages of life. However, the decrease in adolescent face-to-face contact might be less detrimental due to widespread access to digital forms of social interaction through technologies such as social media. The findings reviewed highlight how physical distancing might have a disproportionate effect on an age group for whom peer interaction is a vital aspect of development.","author":[{"dropping-particle":"","family":"Orben","given":"Amy","non-dropping-particle":"","parse-names":false,"suffix":""},{"dropping-particle":"","family":"Tomova","given":"Livia","non-dropping-particle":"","parse-names":false,"suffix":""},{"dropping-particle":"","family":"Blakemore","given":"Sarah Jayne","non-dropping-particle":"","parse-names":false,"suffix":""}],"container-title":"The Lancet Child and Adolescent Health","id":"ITEM-4","issue":"8","issued":{"date-parts":[["2020","8","1"]]},"page":"634-640","publisher":"Elsevier","title":"The effects of social deprivation on adolescent development and mental health","type":"article","volume":"4"},"uris":["http://www.mendeley.com/documents/?uuid=79d69dda-75f8-333b-b4a1-6e98caf49d39"]},{"id":"ITEM-5","itemData":{"DOI":"10.4337/9781783472901.00013","ISBN":"9781783472901","abstract":"Most theory and practice aimed at understanding and improving human well-being deals with individuals, and largely ignores their social interactions. Likewise, both theory and practice tend to focus on individual problems and how they can be fixed. This chapter attempts to fill these gaps, first by showing the fundamental importance of the social context, and then by showing how well-being can be improved by changing the focus from repair of damage to building happier lives. Both of these new directions are based on recent theoretical and empirical advances in the study of subjective well-being. Treating people's self-assessments of the quality of their lives as valid measures of well-being exposes the importance of the social context and suggests new ways to design better policies. The chapter starts with demonstrations of the fundamental importance of the social context, building on the unexpectedly great well-being consequences of social and pro-social behaviour. In addition, evidence is advanced to show an evolutionary fitness for social and pro-social behaviours above and beyond those flowing through their direct consequences for subjective well-being. This is followed by discussion of specific measures of the social context, and of the fundamental importance of trust as social glue. Turning then to policy applications, the chapter deals with valuing the social context, building the evidence base for improving the social context, and demonstrating a variety of policy applications.","author":[{"dropping-particle":"","family":"Helliwell","given":"John F.","non-dropping-particle":"","parse-names":false,"suffix":""}],"container-title":"Well-Being and Beyond: Broadening the Public and Policy Discourse","id":"ITEM-5","issued":{"date-parts":[["2014","1","1"]]},"page":"125-143","publisher":"Edward Elgar Publishing Ltd.","title":"Understanding and improving the social context of well-being","type":"article-journal"},"uris":["http://www.mendeley.com/documents/?uuid=2db0819e-67d4-37be-9a14-a1a46762e8cd"]}],"mendeley":{"formattedCitation":"[43]–[47]","plainTextFormattedCitation":"[43]–[47]","previouslyFormattedCitation":"[42]–[46]"},"properties":{"noteIndex":0},"schema":"https://github.com/citation-style-language/schema/raw/master/csl-citation.json"}</w:instrText>
      </w:r>
      <w:r w:rsidR="00032F70"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rPr>
        <w:t>[43]–[47]</w:t>
      </w:r>
      <w:r w:rsidR="00032F70" w:rsidRPr="00322386">
        <w:rPr>
          <w:rFonts w:asciiTheme="majorBidi" w:hAnsiTheme="majorBidi" w:cstheme="majorBidi"/>
          <w:color w:val="000000" w:themeColor="text1"/>
        </w:rPr>
        <w:fldChar w:fldCharType="end"/>
      </w:r>
      <w:r w:rsidRPr="00322386">
        <w:rPr>
          <w:rFonts w:asciiTheme="majorBidi" w:hAnsiTheme="majorBidi" w:cstheme="majorBidi"/>
          <w:color w:val="000000" w:themeColor="text1"/>
        </w:rPr>
        <w:t xml:space="preserve">. Whether family, friends, professional, or even social contact in passing, the human experience is (without putting </w:t>
      </w:r>
      <w:r w:rsidR="00601980" w:rsidRPr="00322386">
        <w:rPr>
          <w:rFonts w:asciiTheme="majorBidi" w:hAnsiTheme="majorBidi" w:cstheme="majorBidi"/>
          <w:color w:val="000000" w:themeColor="text1"/>
        </w:rPr>
        <w:t>too</w:t>
      </w:r>
      <w:r w:rsidRPr="00322386">
        <w:rPr>
          <w:rFonts w:asciiTheme="majorBidi" w:hAnsiTheme="majorBidi" w:cstheme="majorBidi"/>
          <w:color w:val="000000" w:themeColor="text1"/>
        </w:rPr>
        <w:t xml:space="preserve"> fine a point on it) chiefly a shared one</w:t>
      </w:r>
      <w:r w:rsidR="00601980"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None of the subjects who indicated living alone improved on the metrics we have presented herein over the course of the study. This suggests that it is a rare person indeed who could thrive under such conditions for long.</w:t>
      </w:r>
    </w:p>
    <w:p w14:paraId="686DFD64" w14:textId="77777777" w:rsidR="006D4E60" w:rsidRPr="00322386" w:rsidRDefault="00063B85" w:rsidP="00601980">
      <w:pPr>
        <w:pStyle w:val="Heading3"/>
        <w:rPr>
          <w:rFonts w:asciiTheme="majorBidi" w:hAnsiTheme="majorBidi" w:cstheme="majorBidi"/>
          <w:color w:val="000000" w:themeColor="text1"/>
        </w:rPr>
      </w:pPr>
      <w:bookmarkStart w:id="19" w:name="_fj3rse257dnf" w:colFirst="0" w:colLast="0"/>
      <w:bookmarkEnd w:id="19"/>
      <w:r w:rsidRPr="00322386">
        <w:rPr>
          <w:rFonts w:asciiTheme="majorBidi" w:hAnsiTheme="majorBidi" w:cstheme="majorBidi"/>
          <w:color w:val="000000" w:themeColor="text1"/>
        </w:rPr>
        <w:t xml:space="preserve">·         Shortcomings </w:t>
      </w:r>
      <w:r w:rsidRPr="00322386">
        <w:rPr>
          <w:rFonts w:asciiTheme="majorBidi" w:hAnsiTheme="majorBidi" w:cstheme="majorBidi"/>
          <w:color w:val="000000" w:themeColor="text1"/>
        </w:rPr>
        <w:tab/>
      </w:r>
    </w:p>
    <w:p w14:paraId="5E9ED9FD" w14:textId="2D91EDE8"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SI-adjusted time effects suggest an effect of SI on our measures</w:t>
      </w:r>
      <w:r w:rsidR="00CD35F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To elucidate these effects and their relative weights, multi-factor modeling is warranted. </w:t>
      </w:r>
      <w:r w:rsidR="00CD35FB" w:rsidRPr="00322386">
        <w:rPr>
          <w:rFonts w:asciiTheme="majorBidi" w:hAnsiTheme="majorBidi" w:cstheme="majorBidi"/>
          <w:color w:val="000000" w:themeColor="text1"/>
        </w:rPr>
        <w:t>Owing</w:t>
      </w:r>
      <w:r w:rsidRPr="00322386">
        <w:rPr>
          <w:rFonts w:asciiTheme="majorBidi" w:hAnsiTheme="majorBidi" w:cstheme="majorBidi"/>
          <w:color w:val="000000" w:themeColor="text1"/>
        </w:rPr>
        <w:t xml:space="preserve"> to </w:t>
      </w:r>
      <w:r w:rsidR="00CD35FB" w:rsidRPr="00322386">
        <w:rPr>
          <w:rFonts w:asciiTheme="majorBidi" w:hAnsiTheme="majorBidi" w:cstheme="majorBidi"/>
          <w:color w:val="000000" w:themeColor="text1"/>
        </w:rPr>
        <w:t xml:space="preserve">the </w:t>
      </w:r>
      <w:r w:rsidRPr="00322386">
        <w:rPr>
          <w:rFonts w:asciiTheme="majorBidi" w:hAnsiTheme="majorBidi" w:cstheme="majorBidi"/>
          <w:color w:val="000000" w:themeColor="text1"/>
        </w:rPr>
        <w:t>variability of response</w:t>
      </w:r>
      <w:r w:rsidR="00CD35FB" w:rsidRPr="00322386">
        <w:rPr>
          <w:rFonts w:asciiTheme="majorBidi" w:hAnsiTheme="majorBidi" w:cstheme="majorBidi"/>
          <w:color w:val="000000" w:themeColor="text1"/>
        </w:rPr>
        <w:t>s,</w:t>
      </w:r>
      <w:r w:rsidRPr="00322386">
        <w:rPr>
          <w:rFonts w:asciiTheme="majorBidi" w:hAnsiTheme="majorBidi" w:cstheme="majorBidi"/>
          <w:color w:val="000000" w:themeColor="text1"/>
        </w:rPr>
        <w:t xml:space="preserve"> the comparison of data week</w:t>
      </w:r>
      <w:r w:rsidR="00CD35FB" w:rsidRPr="00322386">
        <w:rPr>
          <w:rFonts w:asciiTheme="majorBidi" w:hAnsiTheme="majorBidi" w:cstheme="majorBidi"/>
          <w:color w:val="000000" w:themeColor="text1"/>
        </w:rPr>
        <w:t>-</w:t>
      </w:r>
      <w:r w:rsidRPr="00322386">
        <w:rPr>
          <w:rFonts w:asciiTheme="majorBidi" w:hAnsiTheme="majorBidi" w:cstheme="majorBidi"/>
          <w:color w:val="000000" w:themeColor="text1"/>
        </w:rPr>
        <w:t>to</w:t>
      </w:r>
      <w:r w:rsidR="00CD35FB" w:rsidRPr="00322386">
        <w:rPr>
          <w:rFonts w:asciiTheme="majorBidi" w:hAnsiTheme="majorBidi" w:cstheme="majorBidi"/>
          <w:color w:val="000000" w:themeColor="text1"/>
        </w:rPr>
        <w:t>-</w:t>
      </w:r>
      <w:r w:rsidRPr="00322386">
        <w:rPr>
          <w:rFonts w:asciiTheme="majorBidi" w:hAnsiTheme="majorBidi" w:cstheme="majorBidi"/>
          <w:color w:val="000000" w:themeColor="text1"/>
        </w:rPr>
        <w:t xml:space="preserve">week </w:t>
      </w:r>
      <w:r w:rsidR="00CD35FB" w:rsidRPr="00322386">
        <w:rPr>
          <w:rFonts w:asciiTheme="majorBidi" w:hAnsiTheme="majorBidi" w:cstheme="majorBidi"/>
          <w:color w:val="000000" w:themeColor="text1"/>
        </w:rPr>
        <w:t>was difficult to parse</w:t>
      </w:r>
      <w:r w:rsidRPr="00322386">
        <w:rPr>
          <w:rFonts w:asciiTheme="majorBidi" w:hAnsiTheme="majorBidi" w:cstheme="majorBidi"/>
          <w:color w:val="000000" w:themeColor="text1"/>
        </w:rPr>
        <w:t xml:space="preserve">. </w:t>
      </w:r>
      <w:r w:rsidR="00CD35FB" w:rsidRPr="00322386">
        <w:rPr>
          <w:rFonts w:asciiTheme="majorBidi" w:hAnsiTheme="majorBidi" w:cstheme="majorBidi"/>
          <w:color w:val="000000" w:themeColor="text1"/>
        </w:rPr>
        <w:t>Additionally, the different respondents at each time point warranted a between-subjects approach, weakening the statistical power of the data set</w:t>
      </w:r>
      <w:r w:rsidRPr="00322386">
        <w:rPr>
          <w:rFonts w:asciiTheme="majorBidi" w:hAnsiTheme="majorBidi" w:cstheme="majorBidi"/>
          <w:color w:val="000000" w:themeColor="text1"/>
        </w:rPr>
        <w:t xml:space="preserve">. </w:t>
      </w:r>
    </w:p>
    <w:p w14:paraId="0F1DB7FF" w14:textId="77777777" w:rsidR="006D4E60" w:rsidRPr="00322386" w:rsidRDefault="006D4E60">
      <w:pPr>
        <w:jc w:val="both"/>
        <w:rPr>
          <w:rFonts w:asciiTheme="majorBidi" w:hAnsiTheme="majorBidi" w:cstheme="majorBidi"/>
          <w:color w:val="000000" w:themeColor="text1"/>
        </w:rPr>
      </w:pPr>
    </w:p>
    <w:p w14:paraId="0228797F" w14:textId="01F0291F" w:rsidR="006D4E60" w:rsidRPr="00322386" w:rsidRDefault="00063B85">
      <w:pPr>
        <w:jc w:val="both"/>
        <w:rPr>
          <w:rFonts w:asciiTheme="majorBidi" w:hAnsiTheme="majorBidi" w:cstheme="majorBidi"/>
          <w:color w:val="000000" w:themeColor="text1"/>
        </w:rPr>
      </w:pPr>
      <w:r w:rsidRPr="00322386">
        <w:rPr>
          <w:rFonts w:asciiTheme="majorBidi" w:hAnsiTheme="majorBidi" w:cstheme="majorBidi"/>
          <w:color w:val="000000" w:themeColor="text1"/>
        </w:rPr>
        <w:t>Human variability, especially along psycho</w:t>
      </w:r>
      <w:r w:rsidR="00A40184" w:rsidRPr="00322386">
        <w:rPr>
          <w:rFonts w:asciiTheme="majorBidi" w:hAnsiTheme="majorBidi" w:cstheme="majorBidi"/>
          <w:color w:val="000000" w:themeColor="text1"/>
        </w:rPr>
        <w:t>-</w:t>
      </w:r>
      <w:r w:rsidRPr="00322386">
        <w:rPr>
          <w:rFonts w:asciiTheme="majorBidi" w:hAnsiTheme="majorBidi" w:cstheme="majorBidi"/>
          <w:color w:val="000000" w:themeColor="text1"/>
        </w:rPr>
        <w:t>behavioral axes, often require very large sample sizes to truly isolate single effects</w:t>
      </w:r>
      <w:r w:rsidR="00CD35F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The current study was performed alongside several European counterparts but only for the first three time points</w:t>
      </w:r>
      <w:r w:rsidR="00CD35FB" w:rsidRPr="00322386">
        <w:rPr>
          <w:rFonts w:asciiTheme="majorBidi" w:hAnsiTheme="majorBidi" w:cstheme="majorBidi"/>
          <w:color w:val="000000" w:themeColor="text1"/>
        </w:rPr>
        <w:t xml:space="preserve">. </w:t>
      </w:r>
      <w:r w:rsidRPr="00322386">
        <w:rPr>
          <w:rFonts w:asciiTheme="majorBidi" w:hAnsiTheme="majorBidi" w:cstheme="majorBidi"/>
          <w:color w:val="000000" w:themeColor="text1"/>
        </w:rPr>
        <w:t xml:space="preserve">Still, the careful incorporation of this data could shed light on some of the early effects of the social restrictions. </w:t>
      </w:r>
    </w:p>
    <w:p w14:paraId="3212A7EC" w14:textId="77777777" w:rsidR="006D4E60" w:rsidRPr="00322386" w:rsidRDefault="006D4E60">
      <w:pPr>
        <w:spacing w:before="240" w:after="240" w:line="480" w:lineRule="auto"/>
        <w:jc w:val="both"/>
        <w:rPr>
          <w:rFonts w:asciiTheme="majorBidi" w:eastAsia="Times New Roman" w:hAnsiTheme="majorBidi" w:cstheme="majorBidi"/>
          <w:b/>
          <w:color w:val="000000" w:themeColor="text1"/>
          <w:sz w:val="24"/>
          <w:szCs w:val="24"/>
        </w:rPr>
      </w:pPr>
    </w:p>
    <w:p w14:paraId="48D0EFD6" w14:textId="10C0D3F7" w:rsidR="00917AC8" w:rsidRPr="00322386" w:rsidRDefault="00917AC8">
      <w:pPr>
        <w:rPr>
          <w:rFonts w:asciiTheme="majorBidi" w:eastAsia="Times New Roman" w:hAnsiTheme="majorBidi" w:cstheme="majorBidi"/>
          <w:b/>
          <w:color w:val="000000" w:themeColor="text1"/>
          <w:sz w:val="24"/>
          <w:szCs w:val="24"/>
        </w:rPr>
      </w:pPr>
      <w:r w:rsidRPr="00322386">
        <w:rPr>
          <w:rFonts w:asciiTheme="majorBidi" w:eastAsia="Times New Roman" w:hAnsiTheme="majorBidi" w:cstheme="majorBidi"/>
          <w:b/>
          <w:color w:val="000000" w:themeColor="text1"/>
          <w:sz w:val="24"/>
          <w:szCs w:val="24"/>
        </w:rPr>
        <w:br w:type="page"/>
      </w:r>
    </w:p>
    <w:p w14:paraId="50906C4B" w14:textId="77777777" w:rsidR="00917AC8" w:rsidRPr="00322386" w:rsidRDefault="00917AC8">
      <w:pPr>
        <w:spacing w:before="240" w:after="240" w:line="480" w:lineRule="auto"/>
        <w:jc w:val="both"/>
        <w:rPr>
          <w:rFonts w:asciiTheme="majorBidi" w:eastAsia="Times New Roman" w:hAnsiTheme="majorBidi" w:cstheme="majorBidi"/>
          <w:b/>
          <w:color w:val="000000" w:themeColor="text1"/>
          <w:sz w:val="24"/>
          <w:szCs w:val="24"/>
        </w:rPr>
        <w:sectPr w:rsidR="00917AC8" w:rsidRPr="00322386">
          <w:type w:val="continuous"/>
          <w:pgSz w:w="12240" w:h="15840"/>
          <w:pgMar w:top="720" w:right="720" w:bottom="720" w:left="720" w:header="720" w:footer="720" w:gutter="0"/>
          <w:cols w:num="2" w:space="720" w:equalWidth="0">
            <w:col w:w="5040" w:space="720"/>
            <w:col w:w="5040" w:space="0"/>
          </w:cols>
        </w:sectPr>
      </w:pPr>
    </w:p>
    <w:p w14:paraId="4358E79A" w14:textId="77777777" w:rsidR="00601980" w:rsidRPr="00322386" w:rsidRDefault="00063B85" w:rsidP="00601980">
      <w:pPr>
        <w:spacing w:before="240" w:after="240" w:line="480" w:lineRule="auto"/>
        <w:jc w:val="both"/>
        <w:rPr>
          <w:rFonts w:asciiTheme="majorBidi" w:eastAsia="Times New Roman" w:hAnsiTheme="majorBidi" w:cstheme="majorBidi"/>
          <w:b/>
          <w:color w:val="000000" w:themeColor="text1"/>
          <w:sz w:val="24"/>
          <w:szCs w:val="24"/>
        </w:rPr>
      </w:pPr>
      <w:r w:rsidRPr="00322386">
        <w:rPr>
          <w:rFonts w:asciiTheme="majorBidi" w:eastAsia="Times New Roman" w:hAnsiTheme="majorBidi" w:cstheme="majorBidi"/>
          <w:b/>
          <w:color w:val="000000" w:themeColor="text1"/>
          <w:sz w:val="24"/>
          <w:szCs w:val="24"/>
        </w:rPr>
        <w:lastRenderedPageBreak/>
        <w:t>REFERENCES</w:t>
      </w:r>
    </w:p>
    <w:p w14:paraId="7C0C8BC1" w14:textId="336C624E" w:rsidR="00681DF8" w:rsidRPr="00322386" w:rsidRDefault="00601980"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color w:val="000000" w:themeColor="text1"/>
        </w:rPr>
        <w:fldChar w:fldCharType="begin" w:fldLock="1"/>
      </w:r>
      <w:r w:rsidRPr="00322386">
        <w:rPr>
          <w:rFonts w:asciiTheme="majorBidi" w:hAnsiTheme="majorBidi" w:cstheme="majorBidi"/>
          <w:color w:val="000000" w:themeColor="text1"/>
        </w:rPr>
        <w:instrText xml:space="preserve">ADDIN Mendeley Bibliography CSL_BIBLIOGRAPHY </w:instrText>
      </w:r>
      <w:r w:rsidRPr="00322386">
        <w:rPr>
          <w:rFonts w:asciiTheme="majorBidi" w:hAnsiTheme="majorBidi" w:cstheme="majorBidi"/>
          <w:color w:val="000000" w:themeColor="text1"/>
        </w:rPr>
        <w:fldChar w:fldCharType="separate"/>
      </w:r>
      <w:r w:rsidR="00681DF8" w:rsidRPr="00322386">
        <w:rPr>
          <w:rFonts w:asciiTheme="majorBidi" w:hAnsiTheme="majorBidi" w:cstheme="majorBidi"/>
          <w:noProof/>
          <w:color w:val="000000" w:themeColor="text1"/>
          <w:szCs w:val="24"/>
        </w:rPr>
        <w:t>[1]</w:t>
      </w:r>
      <w:r w:rsidR="00681DF8" w:rsidRPr="00322386">
        <w:rPr>
          <w:rFonts w:asciiTheme="majorBidi" w:hAnsiTheme="majorBidi" w:cstheme="majorBidi"/>
          <w:noProof/>
          <w:color w:val="000000" w:themeColor="text1"/>
          <w:szCs w:val="24"/>
        </w:rPr>
        <w:tab/>
        <w:t xml:space="preserve">J. I. Pagel and A. Choukèr, “Effects of isolation and confinement on humans-implications for manned space explorations,” </w:t>
      </w:r>
      <w:r w:rsidR="00681DF8" w:rsidRPr="00322386">
        <w:rPr>
          <w:rFonts w:asciiTheme="majorBidi" w:hAnsiTheme="majorBidi" w:cstheme="majorBidi"/>
          <w:i/>
          <w:iCs/>
          <w:noProof/>
          <w:color w:val="000000" w:themeColor="text1"/>
          <w:szCs w:val="24"/>
        </w:rPr>
        <w:t>Journal of Applied Physiology</w:t>
      </w:r>
      <w:r w:rsidR="00681DF8" w:rsidRPr="00322386">
        <w:rPr>
          <w:rFonts w:asciiTheme="majorBidi" w:hAnsiTheme="majorBidi" w:cstheme="majorBidi"/>
          <w:noProof/>
          <w:color w:val="000000" w:themeColor="text1"/>
          <w:szCs w:val="24"/>
        </w:rPr>
        <w:t>, vol. 120, no. 12. American Physiological Society Bethesda, MD, pp. 1449–1457, 15-Jun-2016, doi: 10.1152/japplphysiol.00928.2015.</w:t>
      </w:r>
    </w:p>
    <w:p w14:paraId="085A7895"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w:t>
      </w:r>
      <w:r w:rsidRPr="00322386">
        <w:rPr>
          <w:rFonts w:asciiTheme="majorBidi" w:hAnsiTheme="majorBidi" w:cstheme="majorBidi"/>
          <w:noProof/>
          <w:color w:val="000000" w:themeColor="text1"/>
          <w:szCs w:val="24"/>
        </w:rPr>
        <w:tab/>
        <w:t xml:space="preserve">J. W. Stuster, “Bold endeavors: behavioral lessons from polar and space exploration.,” </w:t>
      </w:r>
      <w:r w:rsidRPr="00322386">
        <w:rPr>
          <w:rFonts w:asciiTheme="majorBidi" w:hAnsiTheme="majorBidi" w:cstheme="majorBidi"/>
          <w:i/>
          <w:iCs/>
          <w:noProof/>
          <w:color w:val="000000" w:themeColor="text1"/>
          <w:szCs w:val="24"/>
        </w:rPr>
        <w:t>Gravit. Space Biol. Bull.</w:t>
      </w:r>
      <w:r w:rsidRPr="00322386">
        <w:rPr>
          <w:rFonts w:asciiTheme="majorBidi" w:hAnsiTheme="majorBidi" w:cstheme="majorBidi"/>
          <w:noProof/>
          <w:color w:val="000000" w:themeColor="text1"/>
          <w:szCs w:val="24"/>
        </w:rPr>
        <w:t>, vol. 13, no. 2, pp. 49–57, May 2000.</w:t>
      </w:r>
    </w:p>
    <w:p w14:paraId="11D09D36"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w:t>
      </w:r>
      <w:r w:rsidRPr="00322386">
        <w:rPr>
          <w:rFonts w:asciiTheme="majorBidi" w:hAnsiTheme="majorBidi" w:cstheme="majorBidi"/>
          <w:noProof/>
          <w:color w:val="000000" w:themeColor="text1"/>
          <w:szCs w:val="24"/>
        </w:rPr>
        <w:tab/>
        <w:t xml:space="preserve">M. Basner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“Mars 520-d mission simulation reveals protracted crew hypokinesis and alterations of sleep duration and timing,” </w:t>
      </w:r>
      <w:r w:rsidRPr="00322386">
        <w:rPr>
          <w:rFonts w:asciiTheme="majorBidi" w:hAnsiTheme="majorBidi" w:cstheme="majorBidi"/>
          <w:i/>
          <w:iCs/>
          <w:noProof/>
          <w:color w:val="000000" w:themeColor="text1"/>
          <w:szCs w:val="24"/>
        </w:rPr>
        <w:t>Proc. Natl. Acad. Sci. U. S. A.</w:t>
      </w:r>
      <w:r w:rsidRPr="00322386">
        <w:rPr>
          <w:rFonts w:asciiTheme="majorBidi" w:hAnsiTheme="majorBidi" w:cstheme="majorBidi"/>
          <w:noProof/>
          <w:color w:val="000000" w:themeColor="text1"/>
          <w:szCs w:val="24"/>
        </w:rPr>
        <w:t>, vol. 110, no. 7, pp. 2635–2640, Feb. 2013, doi: 10.1073/pnas.1212646110.</w:t>
      </w:r>
    </w:p>
    <w:p w14:paraId="0B2BD31F"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[4]</w:t>
      </w:r>
      <w:r w:rsidRPr="00322386">
        <w:rPr>
          <w:rFonts w:asciiTheme="majorBidi" w:hAnsiTheme="majorBidi" w:cstheme="majorBidi"/>
          <w:noProof/>
          <w:color w:val="000000" w:themeColor="text1"/>
          <w:szCs w:val="24"/>
        </w:rPr>
        <w:tab/>
        <w:t xml:space="preserve">D. L. Belavý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“Progressive Adaptation in Physical Activity and Neuromuscular Performance during 520d Confinement,” </w:t>
      </w:r>
      <w:r w:rsidRPr="00322386">
        <w:rPr>
          <w:rFonts w:asciiTheme="majorBidi" w:hAnsiTheme="majorBidi" w:cstheme="majorBidi"/>
          <w:i/>
          <w:iCs/>
          <w:noProof/>
          <w:color w:val="000000" w:themeColor="text1"/>
          <w:szCs w:val="24"/>
        </w:rPr>
        <w:t>PLoS One</w:t>
      </w:r>
      <w:r w:rsidRPr="00322386">
        <w:rPr>
          <w:rFonts w:asciiTheme="majorBidi" w:hAnsiTheme="majorBidi" w:cstheme="majorBidi"/>
          <w:noProof/>
          <w:color w:val="000000" w:themeColor="text1"/>
          <w:szCs w:val="24"/>
        </w:rPr>
        <w:t>, vol. 8, no. 3, p. e60090, Mar. 2013, doi: 10.1371/journal.pone.0060090.</w:t>
      </w:r>
    </w:p>
    <w:p w14:paraId="2B4F1013"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[5]</w:t>
      </w:r>
      <w:r w:rsidRPr="00322386">
        <w:rPr>
          <w:rFonts w:asciiTheme="majorBidi" w:hAnsiTheme="majorBidi" w:cstheme="majorBidi"/>
          <w:noProof/>
          <w:color w:val="000000" w:themeColor="text1"/>
          <w:szCs w:val="24"/>
        </w:rPr>
        <w:tab/>
        <w:t xml:space="preserve">M. Feuerecker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“Early adaption to the antarctic environment at dome C: Consequences on stress-sensitive innate immune functions,” </w:t>
      </w:r>
      <w:r w:rsidRPr="00322386">
        <w:rPr>
          <w:rFonts w:asciiTheme="majorBidi" w:hAnsiTheme="majorBidi" w:cstheme="majorBidi"/>
          <w:i/>
          <w:iCs/>
          <w:noProof/>
          <w:color w:val="000000" w:themeColor="text1"/>
          <w:szCs w:val="24"/>
        </w:rPr>
        <w:t>High Alt. Med. Biol.</w:t>
      </w:r>
      <w:r w:rsidRPr="00322386">
        <w:rPr>
          <w:rFonts w:asciiTheme="majorBidi" w:hAnsiTheme="majorBidi" w:cstheme="majorBidi"/>
          <w:noProof/>
          <w:color w:val="000000" w:themeColor="text1"/>
          <w:szCs w:val="24"/>
        </w:rPr>
        <w:t>, vol. 15, no. 3, pp. 341–348, Sep. 2014, doi: 10.1089/ham.2013.1128.</w:t>
      </w:r>
    </w:p>
    <w:p w14:paraId="13286B24"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[6]</w:t>
      </w:r>
      <w:r w:rsidRPr="00322386">
        <w:rPr>
          <w:rFonts w:asciiTheme="majorBidi" w:hAnsiTheme="majorBidi" w:cstheme="majorBidi"/>
          <w:noProof/>
          <w:color w:val="000000" w:themeColor="text1"/>
          <w:szCs w:val="24"/>
        </w:rPr>
        <w:tab/>
        <w:t xml:space="preserve">N. Kanas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“Lessons learned from shuttle/Mir: Psychosocial countermeasures,” </w:t>
      </w:r>
      <w:r w:rsidRPr="00322386">
        <w:rPr>
          <w:rFonts w:asciiTheme="majorBidi" w:hAnsiTheme="majorBidi" w:cstheme="majorBidi"/>
          <w:i/>
          <w:iCs/>
          <w:noProof/>
          <w:color w:val="000000" w:themeColor="text1"/>
          <w:szCs w:val="24"/>
        </w:rPr>
        <w:t>Aviat. Sp. Environ. Med.</w:t>
      </w:r>
      <w:r w:rsidRPr="00322386">
        <w:rPr>
          <w:rFonts w:asciiTheme="majorBidi" w:hAnsiTheme="majorBidi" w:cstheme="majorBidi"/>
          <w:noProof/>
          <w:color w:val="000000" w:themeColor="text1"/>
          <w:szCs w:val="24"/>
        </w:rPr>
        <w:t>, vol. 73, no. 6, pp. 607–611, Jun. 2002.</w:t>
      </w:r>
    </w:p>
    <w:p w14:paraId="10A30D70"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[7]</w:t>
      </w:r>
      <w:r w:rsidRPr="00322386">
        <w:rPr>
          <w:rFonts w:asciiTheme="majorBidi" w:hAnsiTheme="majorBidi" w:cstheme="majorBidi"/>
          <w:noProof/>
          <w:color w:val="000000" w:themeColor="text1"/>
          <w:szCs w:val="24"/>
        </w:rPr>
        <w:tab/>
        <w:t xml:space="preserve">F. F. Youssef, R. Bachew, S. Bissessar, M. J. Crockett, and N. S. Faber, “Sex differences in the effects of acute stress on behavior in the ultimatum game,” </w:t>
      </w:r>
      <w:r w:rsidRPr="00322386">
        <w:rPr>
          <w:rFonts w:asciiTheme="majorBidi" w:hAnsiTheme="majorBidi" w:cstheme="majorBidi"/>
          <w:i/>
          <w:iCs/>
          <w:noProof/>
          <w:color w:val="000000" w:themeColor="text1"/>
          <w:szCs w:val="24"/>
        </w:rPr>
        <w:t>Psychoneuroendocrinology</w:t>
      </w:r>
      <w:r w:rsidRPr="00322386">
        <w:rPr>
          <w:rFonts w:asciiTheme="majorBidi" w:hAnsiTheme="majorBidi" w:cstheme="majorBidi"/>
          <w:noProof/>
          <w:color w:val="000000" w:themeColor="text1"/>
          <w:szCs w:val="24"/>
        </w:rPr>
        <w:t>, vol. 96, pp. 126–131, Oct. 2018, doi: 10.1016/J.PSYNEUEN.2018.06.012.</w:t>
      </w:r>
    </w:p>
    <w:p w14:paraId="5A472E7E"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[8]</w:t>
      </w:r>
      <w:r w:rsidRPr="00322386">
        <w:rPr>
          <w:rFonts w:asciiTheme="majorBidi" w:hAnsiTheme="majorBidi" w:cstheme="majorBidi"/>
          <w:noProof/>
          <w:color w:val="000000" w:themeColor="text1"/>
          <w:szCs w:val="24"/>
        </w:rPr>
        <w:tab/>
        <w:t xml:space="preserve">A. J. Holmstrom, S. J. Shebib, J. K. Boumis, A. Allard, A. J. Mason, and J. I. Lim, “Support gaps during the COVID-19 pandemic: Sex differences and effects on well-being:,” </w:t>
      </w:r>
      <w:r w:rsidRPr="00322386">
        <w:rPr>
          <w:rFonts w:asciiTheme="majorBidi" w:hAnsiTheme="majorBidi" w:cstheme="majorBidi"/>
          <w:i/>
          <w:iCs/>
          <w:noProof/>
          <w:color w:val="000000" w:themeColor="text1"/>
          <w:szCs w:val="24"/>
        </w:rPr>
        <w:t>https://doi.org/10.1177/02654075211041539</w:t>
      </w:r>
      <w:r w:rsidRPr="00322386">
        <w:rPr>
          <w:rFonts w:asciiTheme="majorBidi" w:hAnsiTheme="majorBidi" w:cstheme="majorBidi"/>
          <w:noProof/>
          <w:color w:val="000000" w:themeColor="text1"/>
          <w:szCs w:val="24"/>
        </w:rPr>
        <w:t>, vol. 38, no. 10, pp. 2985–3009, Oct. 2021, doi: 10.1177/02654075211041539.</w:t>
      </w:r>
    </w:p>
    <w:p w14:paraId="77CF8970"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[9]</w:t>
      </w:r>
      <w:r w:rsidRPr="00322386">
        <w:rPr>
          <w:rFonts w:asciiTheme="majorBidi" w:hAnsiTheme="majorBidi" w:cstheme="majorBidi"/>
          <w:noProof/>
          <w:color w:val="000000" w:themeColor="text1"/>
          <w:szCs w:val="24"/>
        </w:rPr>
        <w:tab/>
        <w:t xml:space="preserve">N. Nickels, K. Kubicki, and D. Maestripieri, “Sex Differences in the Effects of Psychosocial Stress on Cooperative and Prosocial Behavior: Evidence for ‘Flight or Fight’ in Males and ‘Tend and Befriend’ in Females,” </w:t>
      </w:r>
      <w:r w:rsidRPr="00322386">
        <w:rPr>
          <w:rFonts w:asciiTheme="majorBidi" w:hAnsiTheme="majorBidi" w:cstheme="majorBidi"/>
          <w:i/>
          <w:iCs/>
          <w:noProof/>
          <w:color w:val="000000" w:themeColor="text1"/>
          <w:szCs w:val="24"/>
        </w:rPr>
        <w:t>Adapt. Hum. Behav. Physiol. 2017 32</w:t>
      </w:r>
      <w:r w:rsidRPr="00322386">
        <w:rPr>
          <w:rFonts w:asciiTheme="majorBidi" w:hAnsiTheme="majorBidi" w:cstheme="majorBidi"/>
          <w:noProof/>
          <w:color w:val="000000" w:themeColor="text1"/>
          <w:szCs w:val="24"/>
        </w:rPr>
        <w:t>, vol. 3, no. 2, pp. 171–183, Feb. 2017, doi: 10.1007/S40750-017-0062-3.</w:t>
      </w:r>
    </w:p>
    <w:p w14:paraId="6FD87C94"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[10]</w:t>
      </w:r>
      <w:r w:rsidRPr="00322386">
        <w:rPr>
          <w:rFonts w:asciiTheme="majorBidi" w:hAnsiTheme="majorBidi" w:cstheme="majorBidi"/>
          <w:noProof/>
          <w:color w:val="000000" w:themeColor="text1"/>
          <w:szCs w:val="24"/>
        </w:rPr>
        <w:tab/>
        <w:t xml:space="preserve">L. A. Palinkas and D. Browner, “Effects of Prolongea Isolation in Extreme Environments on Stress, Coping, and Depression,” </w:t>
      </w:r>
      <w:r w:rsidRPr="00322386">
        <w:rPr>
          <w:rFonts w:asciiTheme="majorBidi" w:hAnsiTheme="majorBidi" w:cstheme="majorBidi"/>
          <w:i/>
          <w:iCs/>
          <w:noProof/>
          <w:color w:val="000000" w:themeColor="text1"/>
          <w:szCs w:val="24"/>
        </w:rPr>
        <w:t>J. Appl. Soc. Psychol.</w:t>
      </w:r>
      <w:r w:rsidRPr="00322386">
        <w:rPr>
          <w:rFonts w:asciiTheme="majorBidi" w:hAnsiTheme="majorBidi" w:cstheme="majorBidi"/>
          <w:noProof/>
          <w:color w:val="000000" w:themeColor="text1"/>
          <w:szCs w:val="24"/>
        </w:rPr>
        <w:t>, vol. 25, no. 7, pp. 557–576, Apr. 1995, doi: 10.1111/j.1559-1816.1995.tb01599.x.</w:t>
      </w:r>
    </w:p>
    <w:p w14:paraId="5F30335F"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[11]</w:t>
      </w:r>
      <w:r w:rsidRPr="00322386">
        <w:rPr>
          <w:rFonts w:asciiTheme="majorBidi" w:hAnsiTheme="majorBidi" w:cstheme="majorBidi"/>
          <w:noProof/>
          <w:color w:val="000000" w:themeColor="text1"/>
          <w:szCs w:val="24"/>
        </w:rPr>
        <w:tab/>
        <w:t xml:space="preserve">M. A. Marcinkowski, S. T. Bell, and P. G. Roma, “The nature of conflict for teams in isolated, confined, and extreme environments,” </w:t>
      </w:r>
      <w:r w:rsidRPr="00322386">
        <w:rPr>
          <w:rFonts w:asciiTheme="majorBidi" w:hAnsiTheme="majorBidi" w:cstheme="majorBidi"/>
          <w:i/>
          <w:iCs/>
          <w:noProof/>
          <w:color w:val="000000" w:themeColor="text1"/>
          <w:szCs w:val="24"/>
        </w:rPr>
        <w:t>Acta Astronaut.</w:t>
      </w:r>
      <w:r w:rsidRPr="00322386">
        <w:rPr>
          <w:rFonts w:asciiTheme="majorBidi" w:hAnsiTheme="majorBidi" w:cstheme="majorBidi"/>
          <w:noProof/>
          <w:color w:val="000000" w:themeColor="text1"/>
          <w:szCs w:val="24"/>
        </w:rPr>
        <w:t>, vol. 181, pp. 81–91, Apr. 2021, doi: 10.1016/j.actaastro.2021.01.004.</w:t>
      </w:r>
    </w:p>
    <w:p w14:paraId="572FBC38"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[12]</w:t>
      </w:r>
      <w:r w:rsidRPr="00322386">
        <w:rPr>
          <w:rFonts w:asciiTheme="majorBidi" w:hAnsiTheme="majorBidi" w:cstheme="majorBidi"/>
          <w:noProof/>
          <w:color w:val="000000" w:themeColor="text1"/>
          <w:szCs w:val="24"/>
        </w:rPr>
        <w:tab/>
        <w:t xml:space="preserve">J. W. Stuster, “Behavioral Challenges of Space Exploration,” in </w:t>
      </w:r>
      <w:r w:rsidRPr="00322386">
        <w:rPr>
          <w:rFonts w:asciiTheme="majorBidi" w:hAnsiTheme="majorBidi" w:cstheme="majorBidi"/>
          <w:i/>
          <w:iCs/>
          <w:noProof/>
          <w:color w:val="000000" w:themeColor="text1"/>
          <w:szCs w:val="24"/>
        </w:rPr>
        <w:t>Handbook of Bioastronautics</w:t>
      </w:r>
      <w:r w:rsidRPr="00322386">
        <w:rPr>
          <w:rFonts w:asciiTheme="majorBidi" w:hAnsiTheme="majorBidi" w:cstheme="majorBidi"/>
          <w:noProof/>
          <w:color w:val="000000" w:themeColor="text1"/>
          <w:szCs w:val="24"/>
        </w:rPr>
        <w:t>, Springer, Cham, 2020, pp. 1–10.</w:t>
      </w:r>
    </w:p>
    <w:p w14:paraId="5D54A215"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[13]</w:t>
      </w:r>
      <w:r w:rsidRPr="00322386">
        <w:rPr>
          <w:rFonts w:asciiTheme="majorBidi" w:hAnsiTheme="majorBidi" w:cstheme="majorBidi"/>
          <w:noProof/>
          <w:color w:val="000000" w:themeColor="text1"/>
          <w:szCs w:val="24"/>
        </w:rPr>
        <w:tab/>
        <w:t xml:space="preserve">A. P. Anderson, A. M. Fellows, K. A. Binsted, M. T. Hegel, and J. C. Buckey, “Autonomous, computer-based behavioral health countermeasure evaluation at HI-SEAS mars analog,” </w:t>
      </w:r>
      <w:r w:rsidRPr="00322386">
        <w:rPr>
          <w:rFonts w:asciiTheme="majorBidi" w:hAnsiTheme="majorBidi" w:cstheme="majorBidi"/>
          <w:i/>
          <w:iCs/>
          <w:noProof/>
          <w:color w:val="000000" w:themeColor="text1"/>
          <w:szCs w:val="24"/>
        </w:rPr>
        <w:t>Aerosp. Med. Hum. Perform.</w:t>
      </w:r>
      <w:r w:rsidRPr="00322386">
        <w:rPr>
          <w:rFonts w:asciiTheme="majorBidi" w:hAnsiTheme="majorBidi" w:cstheme="majorBidi"/>
          <w:noProof/>
          <w:color w:val="000000" w:themeColor="text1"/>
          <w:szCs w:val="24"/>
        </w:rPr>
        <w:t>, vol. 87, no. 11, pp. 912–920, Nov. 2016, doi: 10.3357/AMHP.4676.2016.</w:t>
      </w:r>
    </w:p>
    <w:p w14:paraId="12DAF57F"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[14]</w:t>
      </w:r>
      <w:r w:rsidRPr="00322386">
        <w:rPr>
          <w:rFonts w:asciiTheme="majorBidi" w:hAnsiTheme="majorBidi" w:cstheme="majorBidi"/>
          <w:noProof/>
          <w:color w:val="000000" w:themeColor="text1"/>
          <w:szCs w:val="24"/>
        </w:rPr>
        <w:tab/>
        <w:t>“Listings of WHO’s response to COVID-19.” [Online]. Available: https://www.who.int/news/item/29-06-2020-covidtimeline. [Accessed: 07-Dec-2021].</w:t>
      </w:r>
    </w:p>
    <w:p w14:paraId="7508B1E5"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[15]</w:t>
      </w:r>
      <w:r w:rsidRPr="00322386">
        <w:rPr>
          <w:rFonts w:asciiTheme="majorBidi" w:hAnsiTheme="majorBidi" w:cstheme="majorBidi"/>
          <w:noProof/>
          <w:color w:val="000000" w:themeColor="text1"/>
          <w:szCs w:val="24"/>
        </w:rPr>
        <w:tab/>
        <w:t xml:space="preserve">S. Singh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“How an outbreak became a pandemic: a chronological analysis of crucial junctures and international obligations in the early months of the COVID-19 pandemic,” </w:t>
      </w:r>
      <w:r w:rsidRPr="00322386">
        <w:rPr>
          <w:rFonts w:asciiTheme="majorBidi" w:hAnsiTheme="majorBidi" w:cstheme="majorBidi"/>
          <w:i/>
          <w:iCs/>
          <w:noProof/>
          <w:color w:val="000000" w:themeColor="text1"/>
          <w:szCs w:val="24"/>
        </w:rPr>
        <w:t>Lancet</w:t>
      </w:r>
      <w:r w:rsidRPr="00322386">
        <w:rPr>
          <w:rFonts w:asciiTheme="majorBidi" w:hAnsiTheme="majorBidi" w:cstheme="majorBidi"/>
          <w:noProof/>
          <w:color w:val="000000" w:themeColor="text1"/>
          <w:szCs w:val="24"/>
        </w:rPr>
        <w:t>, vol. 398, no. 10316, pp. 2109–2124, Dec. 2021, doi: 10.1016/S0140-6736(21)01897-3.</w:t>
      </w:r>
    </w:p>
    <w:p w14:paraId="699D9733"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lastRenderedPageBreak/>
        <w:t>[16]</w:t>
      </w:r>
      <w:r w:rsidRPr="00322386">
        <w:rPr>
          <w:rFonts w:asciiTheme="majorBidi" w:hAnsiTheme="majorBidi" w:cstheme="majorBidi"/>
          <w:noProof/>
          <w:color w:val="000000" w:themeColor="text1"/>
          <w:szCs w:val="24"/>
        </w:rPr>
        <w:tab/>
        <w:t xml:space="preserve">Worldometers, “COVID-19 CORONAVIRUS PANDEMIC,” </w:t>
      </w:r>
      <w:r w:rsidRPr="00322386">
        <w:rPr>
          <w:rFonts w:asciiTheme="majorBidi" w:hAnsiTheme="majorBidi" w:cstheme="majorBidi"/>
          <w:i/>
          <w:iCs/>
          <w:noProof/>
          <w:color w:val="000000" w:themeColor="text1"/>
          <w:szCs w:val="24"/>
        </w:rPr>
        <w:t>Our World in Data</w:t>
      </w:r>
      <w:r w:rsidRPr="00322386">
        <w:rPr>
          <w:rFonts w:asciiTheme="majorBidi" w:hAnsiTheme="majorBidi" w:cstheme="majorBidi"/>
          <w:noProof/>
          <w:color w:val="000000" w:themeColor="text1"/>
          <w:szCs w:val="24"/>
        </w:rPr>
        <w:t>, 05-Mar-2020. [Online]. Available: https://ourworldindata.org/coronavirus. [Accessed: 07-Dec-2021].</w:t>
      </w:r>
    </w:p>
    <w:p w14:paraId="5DBE66DA"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[17]</w:t>
      </w:r>
      <w:r w:rsidRPr="00322386">
        <w:rPr>
          <w:rFonts w:asciiTheme="majorBidi" w:hAnsiTheme="majorBidi" w:cstheme="majorBidi"/>
          <w:noProof/>
          <w:color w:val="000000" w:themeColor="text1"/>
          <w:szCs w:val="24"/>
        </w:rPr>
        <w:tab/>
        <w:t xml:space="preserve">R. Rossi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“Mental Health Outcomes Among Healthcare Workers and the General Population During the COVID-19 in Italy,” </w:t>
      </w:r>
      <w:r w:rsidRPr="00322386">
        <w:rPr>
          <w:rFonts w:asciiTheme="majorBidi" w:hAnsiTheme="majorBidi" w:cstheme="majorBidi"/>
          <w:i/>
          <w:iCs/>
          <w:noProof/>
          <w:color w:val="000000" w:themeColor="text1"/>
          <w:szCs w:val="24"/>
        </w:rPr>
        <w:t>Front. Psychol.</w:t>
      </w:r>
      <w:r w:rsidRPr="00322386">
        <w:rPr>
          <w:rFonts w:asciiTheme="majorBidi" w:hAnsiTheme="majorBidi" w:cstheme="majorBidi"/>
          <w:noProof/>
          <w:color w:val="000000" w:themeColor="text1"/>
          <w:szCs w:val="24"/>
        </w:rPr>
        <w:t>, vol. 11, p. 3332, Dec. 2020, doi: 10.3389/FPSYG.2020.608986/BIBTEX.</w:t>
      </w:r>
    </w:p>
    <w:p w14:paraId="6C7CA58A"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[18]</w:t>
      </w:r>
      <w:r w:rsidRPr="00322386">
        <w:rPr>
          <w:rFonts w:asciiTheme="majorBidi" w:hAnsiTheme="majorBidi" w:cstheme="majorBidi"/>
          <w:noProof/>
          <w:color w:val="000000" w:themeColor="text1"/>
          <w:szCs w:val="24"/>
        </w:rPr>
        <w:tab/>
        <w:t xml:space="preserve">L. A. Palinkas and P. Suedfeld, “Psychosocial issues in isolated and confined extreme environments,” </w:t>
      </w:r>
      <w:r w:rsidRPr="00322386">
        <w:rPr>
          <w:rFonts w:asciiTheme="majorBidi" w:hAnsiTheme="majorBidi" w:cstheme="majorBidi"/>
          <w:i/>
          <w:iCs/>
          <w:noProof/>
          <w:color w:val="000000" w:themeColor="text1"/>
          <w:szCs w:val="24"/>
        </w:rPr>
        <w:t>Neurosci. Biobehav. Rev.</w:t>
      </w:r>
      <w:r w:rsidRPr="00322386">
        <w:rPr>
          <w:rFonts w:asciiTheme="majorBidi" w:hAnsiTheme="majorBidi" w:cstheme="majorBidi"/>
          <w:noProof/>
          <w:color w:val="000000" w:themeColor="text1"/>
          <w:szCs w:val="24"/>
        </w:rPr>
        <w:t>, vol. 126, pp. 413–429, Jul. 2021, doi: 10.1016/J.NEUBIOREV.2021.03.032.</w:t>
      </w:r>
    </w:p>
    <w:p w14:paraId="04E79200"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[19]</w:t>
      </w:r>
      <w:r w:rsidRPr="00322386">
        <w:rPr>
          <w:rFonts w:asciiTheme="majorBidi" w:hAnsiTheme="majorBidi" w:cstheme="majorBidi"/>
          <w:noProof/>
          <w:color w:val="000000" w:themeColor="text1"/>
          <w:szCs w:val="24"/>
        </w:rPr>
        <w:tab/>
        <w:t xml:space="preserve">P. G. Roma and W. L. Bedwell, “Key factors and threats to team dynamics in long-duration extreme environments,” </w:t>
      </w:r>
      <w:r w:rsidRPr="00322386">
        <w:rPr>
          <w:rFonts w:asciiTheme="majorBidi" w:hAnsiTheme="majorBidi" w:cstheme="majorBidi"/>
          <w:i/>
          <w:iCs/>
          <w:noProof/>
          <w:color w:val="000000" w:themeColor="text1"/>
          <w:szCs w:val="24"/>
        </w:rPr>
        <w:t>Res. Manag. Groups Teams</w:t>
      </w:r>
      <w:r w:rsidRPr="00322386">
        <w:rPr>
          <w:rFonts w:asciiTheme="majorBidi" w:hAnsiTheme="majorBidi" w:cstheme="majorBidi"/>
          <w:noProof/>
          <w:color w:val="000000" w:themeColor="text1"/>
          <w:szCs w:val="24"/>
        </w:rPr>
        <w:t>, vol. 18, pp. 155–187, 2017, doi: 10.1108/S1534-085620160000018007.</w:t>
      </w:r>
    </w:p>
    <w:p w14:paraId="42D8CF02"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[20]</w:t>
      </w:r>
      <w:r w:rsidRPr="00322386">
        <w:rPr>
          <w:rFonts w:asciiTheme="majorBidi" w:hAnsiTheme="majorBidi" w:cstheme="majorBidi"/>
          <w:noProof/>
          <w:color w:val="000000" w:themeColor="text1"/>
          <w:szCs w:val="24"/>
        </w:rPr>
        <w:tab/>
        <w:t xml:space="preserve">O. Mairesse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“Preparing for Mars: Human sleep and performance during a 13 month stay in Antarctica,” </w:t>
      </w:r>
      <w:r w:rsidRPr="00322386">
        <w:rPr>
          <w:rFonts w:asciiTheme="majorBidi" w:hAnsiTheme="majorBidi" w:cstheme="majorBidi"/>
          <w:i/>
          <w:iCs/>
          <w:noProof/>
          <w:color w:val="000000" w:themeColor="text1"/>
          <w:szCs w:val="24"/>
        </w:rPr>
        <w:t>Sleep</w:t>
      </w:r>
      <w:r w:rsidRPr="00322386">
        <w:rPr>
          <w:rFonts w:asciiTheme="majorBidi" w:hAnsiTheme="majorBidi" w:cstheme="majorBidi"/>
          <w:noProof/>
          <w:color w:val="000000" w:themeColor="text1"/>
          <w:szCs w:val="24"/>
        </w:rPr>
        <w:t>, vol. 42, no. 1, Jan. 2019, doi: 10.1093/sleep/zsy206.</w:t>
      </w:r>
    </w:p>
    <w:p w14:paraId="128A64BC"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[21]</w:t>
      </w:r>
      <w:r w:rsidRPr="00322386">
        <w:rPr>
          <w:rFonts w:asciiTheme="majorBidi" w:hAnsiTheme="majorBidi" w:cstheme="majorBidi"/>
          <w:noProof/>
          <w:color w:val="000000" w:themeColor="text1"/>
          <w:szCs w:val="24"/>
        </w:rPr>
        <w:tab/>
        <w:t xml:space="preserve">D. Russell, L. A. Peplau, and M. L. Ferguson, “Developing a Measure of Loneliness,” </w:t>
      </w:r>
      <w:r w:rsidRPr="00322386">
        <w:rPr>
          <w:rFonts w:asciiTheme="majorBidi" w:hAnsiTheme="majorBidi" w:cstheme="majorBidi"/>
          <w:i/>
          <w:iCs/>
          <w:noProof/>
          <w:color w:val="000000" w:themeColor="text1"/>
          <w:szCs w:val="24"/>
        </w:rPr>
        <w:t>J. Pers. Assess.</w:t>
      </w:r>
      <w:r w:rsidRPr="00322386">
        <w:rPr>
          <w:rFonts w:asciiTheme="majorBidi" w:hAnsiTheme="majorBidi" w:cstheme="majorBidi"/>
          <w:noProof/>
          <w:color w:val="000000" w:themeColor="text1"/>
          <w:szCs w:val="24"/>
        </w:rPr>
        <w:t>, vol. 42, no. 3, pp. 290–294, Jun. 1978, doi: 10.1207/s15327752jpa4203_11.</w:t>
      </w:r>
    </w:p>
    <w:p w14:paraId="62472E14"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[22]</w:t>
      </w:r>
      <w:r w:rsidRPr="00322386">
        <w:rPr>
          <w:rFonts w:asciiTheme="majorBidi" w:hAnsiTheme="majorBidi" w:cstheme="majorBidi"/>
          <w:noProof/>
          <w:color w:val="000000" w:themeColor="text1"/>
          <w:szCs w:val="24"/>
        </w:rPr>
        <w:tab/>
        <w:t xml:space="preserve">P. C. Terry, A. M. Lane, and G. J. Fogarty, “Construct validity of the Profile of Mood States - Adolescents for use with adults,” </w:t>
      </w:r>
      <w:r w:rsidRPr="00322386">
        <w:rPr>
          <w:rFonts w:asciiTheme="majorBidi" w:hAnsiTheme="majorBidi" w:cstheme="majorBidi"/>
          <w:i/>
          <w:iCs/>
          <w:noProof/>
          <w:color w:val="000000" w:themeColor="text1"/>
          <w:szCs w:val="24"/>
        </w:rPr>
        <w:t>Psychol. Sport Exerc.</w:t>
      </w:r>
      <w:r w:rsidRPr="00322386">
        <w:rPr>
          <w:rFonts w:asciiTheme="majorBidi" w:hAnsiTheme="majorBidi" w:cstheme="majorBidi"/>
          <w:noProof/>
          <w:color w:val="000000" w:themeColor="text1"/>
          <w:szCs w:val="24"/>
        </w:rPr>
        <w:t>, vol. 4, no. 2, pp. 125–139, Apr. 2003, doi: 10.1016/S1469-0292(01)00035-8.</w:t>
      </w:r>
    </w:p>
    <w:p w14:paraId="5FBF8E6E"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[23]</w:t>
      </w:r>
      <w:r w:rsidRPr="00322386">
        <w:rPr>
          <w:rFonts w:asciiTheme="majorBidi" w:hAnsiTheme="majorBidi" w:cstheme="majorBidi"/>
          <w:noProof/>
          <w:color w:val="000000" w:themeColor="text1"/>
          <w:szCs w:val="24"/>
        </w:rPr>
        <w:tab/>
        <w:t xml:space="preserve">V. Pollock, D. W. Cho, D. Reker, and J. Volavka, “Profile of mood states: The factors and their physiological correlates,” </w:t>
      </w:r>
      <w:r w:rsidRPr="00322386">
        <w:rPr>
          <w:rFonts w:asciiTheme="majorBidi" w:hAnsiTheme="majorBidi" w:cstheme="majorBidi"/>
          <w:i/>
          <w:iCs/>
          <w:noProof/>
          <w:color w:val="000000" w:themeColor="text1"/>
          <w:szCs w:val="24"/>
        </w:rPr>
        <w:t>J. Nerv. Ment. Dis.</w:t>
      </w:r>
      <w:r w:rsidRPr="00322386">
        <w:rPr>
          <w:rFonts w:asciiTheme="majorBidi" w:hAnsiTheme="majorBidi" w:cstheme="majorBidi"/>
          <w:noProof/>
          <w:color w:val="000000" w:themeColor="text1"/>
          <w:szCs w:val="24"/>
        </w:rPr>
        <w:t>, vol. 167, no. 10, pp. 612–614, 1979, doi: 10.1097/00005053-197910000-00004.</w:t>
      </w:r>
    </w:p>
    <w:p w14:paraId="52C7F1A5"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[24]</w:t>
      </w:r>
      <w:r w:rsidRPr="00322386">
        <w:rPr>
          <w:rFonts w:asciiTheme="majorBidi" w:hAnsiTheme="majorBidi" w:cstheme="majorBidi"/>
          <w:noProof/>
          <w:color w:val="000000" w:themeColor="text1"/>
          <w:szCs w:val="24"/>
        </w:rPr>
        <w:tab/>
        <w:t xml:space="preserve">D. J. Buysse, C. F. Reynolds, T. H. Monk, S. R. Berman, and D. J. Kupfer, “The Pittsburgh sleep quality index: A new instrument for psychiatric practice and research,” </w:t>
      </w:r>
      <w:r w:rsidRPr="00322386">
        <w:rPr>
          <w:rFonts w:asciiTheme="majorBidi" w:hAnsiTheme="majorBidi" w:cstheme="majorBidi"/>
          <w:i/>
          <w:iCs/>
          <w:noProof/>
          <w:color w:val="000000" w:themeColor="text1"/>
          <w:szCs w:val="24"/>
        </w:rPr>
        <w:t>Psychiatry Res.</w:t>
      </w:r>
      <w:r w:rsidRPr="00322386">
        <w:rPr>
          <w:rFonts w:asciiTheme="majorBidi" w:hAnsiTheme="majorBidi" w:cstheme="majorBidi"/>
          <w:noProof/>
          <w:color w:val="000000" w:themeColor="text1"/>
          <w:szCs w:val="24"/>
        </w:rPr>
        <w:t>, vol. 28, no. 2, pp. 193–213, 1989, doi: 10.1016/0165-1781(89)90047-4.</w:t>
      </w:r>
    </w:p>
    <w:p w14:paraId="5B8E1F0E"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[25]</w:t>
      </w:r>
      <w:r w:rsidRPr="00322386">
        <w:rPr>
          <w:rFonts w:asciiTheme="majorBidi" w:hAnsiTheme="majorBidi" w:cstheme="majorBidi"/>
          <w:noProof/>
          <w:color w:val="000000" w:themeColor="text1"/>
          <w:szCs w:val="24"/>
        </w:rPr>
        <w:tab/>
        <w:t xml:space="preserve">S. L. Beck, A. L. Schwartz, G. Towsley, W. Dudley, and A. Barsevick, “Psychometric evaluation of the Pittsburgh sleep quality index in cancer patients,” </w:t>
      </w:r>
      <w:r w:rsidRPr="00322386">
        <w:rPr>
          <w:rFonts w:asciiTheme="majorBidi" w:hAnsiTheme="majorBidi" w:cstheme="majorBidi"/>
          <w:i/>
          <w:iCs/>
          <w:noProof/>
          <w:color w:val="000000" w:themeColor="text1"/>
          <w:szCs w:val="24"/>
        </w:rPr>
        <w:t>J. Pain Symptom Manage.</w:t>
      </w:r>
      <w:r w:rsidRPr="00322386">
        <w:rPr>
          <w:rFonts w:asciiTheme="majorBidi" w:hAnsiTheme="majorBidi" w:cstheme="majorBidi"/>
          <w:noProof/>
          <w:color w:val="000000" w:themeColor="text1"/>
          <w:szCs w:val="24"/>
        </w:rPr>
        <w:t>, vol. 27, no. 2, pp. 140–148, 2004, doi: 10.1016/j.jpainsymman.2003.12.002.</w:t>
      </w:r>
    </w:p>
    <w:p w14:paraId="764A4D4D"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[26]</w:t>
      </w:r>
      <w:r w:rsidRPr="00322386">
        <w:rPr>
          <w:rFonts w:asciiTheme="majorBidi" w:hAnsiTheme="majorBidi" w:cstheme="majorBidi"/>
          <w:noProof/>
          <w:color w:val="000000" w:themeColor="text1"/>
          <w:szCs w:val="24"/>
        </w:rPr>
        <w:tab/>
        <w:t xml:space="preserve">C. L. Craig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“International physical activity questionnaire: 12-Country reliability and validity,” </w:t>
      </w:r>
      <w:r w:rsidRPr="00322386">
        <w:rPr>
          <w:rFonts w:asciiTheme="majorBidi" w:hAnsiTheme="majorBidi" w:cstheme="majorBidi"/>
          <w:i/>
          <w:iCs/>
          <w:noProof/>
          <w:color w:val="000000" w:themeColor="text1"/>
          <w:szCs w:val="24"/>
        </w:rPr>
        <w:t>Med. Sci. Sports Exerc.</w:t>
      </w:r>
      <w:r w:rsidRPr="00322386">
        <w:rPr>
          <w:rFonts w:asciiTheme="majorBidi" w:hAnsiTheme="majorBidi" w:cstheme="majorBidi"/>
          <w:noProof/>
          <w:color w:val="000000" w:themeColor="text1"/>
          <w:szCs w:val="24"/>
        </w:rPr>
        <w:t>, vol. 35, no. 8, pp. 1381–1395, Aug. 2003, doi: 10.1249/01.MSS.0000078924.61453.FB.</w:t>
      </w:r>
    </w:p>
    <w:p w14:paraId="1B846E6C"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[27]</w:t>
      </w:r>
      <w:r w:rsidRPr="00322386">
        <w:rPr>
          <w:rFonts w:asciiTheme="majorBidi" w:hAnsiTheme="majorBidi" w:cstheme="majorBidi"/>
          <w:noProof/>
          <w:color w:val="000000" w:themeColor="text1"/>
          <w:szCs w:val="24"/>
        </w:rPr>
        <w:tab/>
        <w:t xml:space="preserve">T. M. Marteau and H. Bekker, “The development of a six‐item short‐form of the state scale of the Spielberger State—Trait Anxiety Inventory (STAI),” </w:t>
      </w:r>
      <w:r w:rsidRPr="00322386">
        <w:rPr>
          <w:rFonts w:asciiTheme="majorBidi" w:hAnsiTheme="majorBidi" w:cstheme="majorBidi"/>
          <w:i/>
          <w:iCs/>
          <w:noProof/>
          <w:color w:val="000000" w:themeColor="text1"/>
          <w:szCs w:val="24"/>
        </w:rPr>
        <w:t>Br. J. Clin. Psychol.</w:t>
      </w:r>
      <w:r w:rsidRPr="00322386">
        <w:rPr>
          <w:rFonts w:asciiTheme="majorBidi" w:hAnsiTheme="majorBidi" w:cstheme="majorBidi"/>
          <w:noProof/>
          <w:color w:val="000000" w:themeColor="text1"/>
          <w:szCs w:val="24"/>
        </w:rPr>
        <w:t>, vol. 31, no. 3, pp. 301–306, 1992, doi: 10.1111/j.2044-8260.1992.tb00997.x.</w:t>
      </w:r>
    </w:p>
    <w:p w14:paraId="428CEAFE"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[28]</w:t>
      </w:r>
      <w:r w:rsidRPr="00322386">
        <w:rPr>
          <w:rFonts w:asciiTheme="majorBidi" w:hAnsiTheme="majorBidi" w:cstheme="majorBidi"/>
          <w:noProof/>
          <w:color w:val="000000" w:themeColor="text1"/>
          <w:szCs w:val="24"/>
        </w:rPr>
        <w:tab/>
        <w:t xml:space="preserve">H. Prime, M. Wade, and D. T. Browne, “Risk and resilience in family well-being during the COVID-19 pandemic,” </w:t>
      </w:r>
      <w:r w:rsidRPr="00322386">
        <w:rPr>
          <w:rFonts w:asciiTheme="majorBidi" w:hAnsiTheme="majorBidi" w:cstheme="majorBidi"/>
          <w:i/>
          <w:iCs/>
          <w:noProof/>
          <w:color w:val="000000" w:themeColor="text1"/>
          <w:szCs w:val="24"/>
        </w:rPr>
        <w:t>Am. Psychol.</w:t>
      </w:r>
      <w:r w:rsidRPr="00322386">
        <w:rPr>
          <w:rFonts w:asciiTheme="majorBidi" w:hAnsiTheme="majorBidi" w:cstheme="majorBidi"/>
          <w:noProof/>
          <w:color w:val="000000" w:themeColor="text1"/>
          <w:szCs w:val="24"/>
        </w:rPr>
        <w:t>, vol. 75, no. 5, pp. 631–643, Jul. 2020, doi: 10.1037/amp0000660.</w:t>
      </w:r>
    </w:p>
    <w:p w14:paraId="331FF03C"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[29]</w:t>
      </w:r>
      <w:r w:rsidRPr="00322386">
        <w:rPr>
          <w:rFonts w:asciiTheme="majorBidi" w:hAnsiTheme="majorBidi" w:cstheme="majorBidi"/>
          <w:noProof/>
          <w:color w:val="000000" w:themeColor="text1"/>
          <w:szCs w:val="24"/>
        </w:rPr>
        <w:tab/>
        <w:t xml:space="preserve">C. A. Alfano, J. L. Bower, J. Cowie, S. Lau, and R. J. Simpson, “Long-duration space exploration and emotional health: Recommendations for conceptualizing and evaluating risk,” </w:t>
      </w:r>
      <w:r w:rsidRPr="00322386">
        <w:rPr>
          <w:rFonts w:asciiTheme="majorBidi" w:hAnsiTheme="majorBidi" w:cstheme="majorBidi"/>
          <w:i/>
          <w:iCs/>
          <w:noProof/>
          <w:color w:val="000000" w:themeColor="text1"/>
          <w:szCs w:val="24"/>
        </w:rPr>
        <w:t>Acta Astronautica</w:t>
      </w:r>
      <w:r w:rsidRPr="00322386">
        <w:rPr>
          <w:rFonts w:asciiTheme="majorBidi" w:hAnsiTheme="majorBidi" w:cstheme="majorBidi"/>
          <w:noProof/>
          <w:color w:val="000000" w:themeColor="text1"/>
          <w:szCs w:val="24"/>
        </w:rPr>
        <w:t>, vol. 142. Pergamon, pp. 289–299, 01-Jan-2018, doi: 10.1016/j.actaastro.2017.11.009.</w:t>
      </w:r>
    </w:p>
    <w:p w14:paraId="6B4FFF17"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[30]</w:t>
      </w:r>
      <w:r w:rsidRPr="00322386">
        <w:rPr>
          <w:rFonts w:asciiTheme="majorBidi" w:hAnsiTheme="majorBidi" w:cstheme="majorBidi"/>
          <w:noProof/>
          <w:color w:val="000000" w:themeColor="text1"/>
          <w:szCs w:val="24"/>
        </w:rPr>
        <w:tab/>
        <w:t xml:space="preserve">F. M. Aarestrup, M. Bonten, and M. Koopmans, “Pandemics– One Health preparedness for the next,” </w:t>
      </w:r>
      <w:r w:rsidRPr="00322386">
        <w:rPr>
          <w:rFonts w:asciiTheme="majorBidi" w:hAnsiTheme="majorBidi" w:cstheme="majorBidi"/>
          <w:i/>
          <w:iCs/>
          <w:noProof/>
          <w:color w:val="000000" w:themeColor="text1"/>
          <w:szCs w:val="24"/>
        </w:rPr>
        <w:t>Lancet Reg. Heal. - Eur.</w:t>
      </w:r>
      <w:r w:rsidRPr="00322386">
        <w:rPr>
          <w:rFonts w:asciiTheme="majorBidi" w:hAnsiTheme="majorBidi" w:cstheme="majorBidi"/>
          <w:noProof/>
          <w:color w:val="000000" w:themeColor="text1"/>
          <w:szCs w:val="24"/>
        </w:rPr>
        <w:t>, vol. 9, p. 100210, Oct. 2021, doi: 10.1016/J.LANEPE.2021.100210.</w:t>
      </w:r>
    </w:p>
    <w:p w14:paraId="76FA18A0"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[31]</w:t>
      </w:r>
      <w:r w:rsidRPr="00322386">
        <w:rPr>
          <w:rFonts w:asciiTheme="majorBidi" w:hAnsiTheme="majorBidi" w:cstheme="majorBidi"/>
          <w:noProof/>
          <w:color w:val="000000" w:themeColor="text1"/>
          <w:szCs w:val="24"/>
        </w:rPr>
        <w:tab/>
        <w:t xml:space="preserve">J. A. Van Fossen, J. Olenick, J. Ayton, C. H. Chang, and S. W. J. Kozlowski, “Relationships between personality and social functioning, attitudes towards the team and mission, and well-being in an ICE environment,” </w:t>
      </w:r>
      <w:r w:rsidRPr="00322386">
        <w:rPr>
          <w:rFonts w:asciiTheme="majorBidi" w:hAnsiTheme="majorBidi" w:cstheme="majorBidi"/>
          <w:i/>
          <w:iCs/>
          <w:noProof/>
          <w:color w:val="000000" w:themeColor="text1"/>
          <w:szCs w:val="24"/>
        </w:rPr>
        <w:t>Acta Astronaut.</w:t>
      </w:r>
      <w:r w:rsidRPr="00322386">
        <w:rPr>
          <w:rFonts w:asciiTheme="majorBidi" w:hAnsiTheme="majorBidi" w:cstheme="majorBidi"/>
          <w:noProof/>
          <w:color w:val="000000" w:themeColor="text1"/>
          <w:szCs w:val="24"/>
        </w:rPr>
        <w:t>, vol. 189, pp. 658–670, Dec. 2021, doi: 10.1016/J.ACTAASTRO.2021.09.031.</w:t>
      </w:r>
    </w:p>
    <w:p w14:paraId="738FBB51"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[32]</w:t>
      </w:r>
      <w:r w:rsidRPr="00322386">
        <w:rPr>
          <w:rFonts w:asciiTheme="majorBidi" w:hAnsiTheme="majorBidi" w:cstheme="majorBidi"/>
          <w:noProof/>
          <w:color w:val="000000" w:themeColor="text1"/>
          <w:szCs w:val="24"/>
        </w:rPr>
        <w:tab/>
        <w:t xml:space="preserve">V. J. Rubio, I. Sánchez-Iglesias, M. Bueno, and G. Martin, “Athletes’ Psychological Adaptation to Confinement Due to COVID-19: A Longitudinal Study,” </w:t>
      </w:r>
      <w:r w:rsidRPr="00322386">
        <w:rPr>
          <w:rFonts w:asciiTheme="majorBidi" w:hAnsiTheme="majorBidi" w:cstheme="majorBidi"/>
          <w:i/>
          <w:iCs/>
          <w:noProof/>
          <w:color w:val="000000" w:themeColor="text1"/>
          <w:szCs w:val="24"/>
        </w:rPr>
        <w:t>Front. Psychol.</w:t>
      </w:r>
      <w:r w:rsidRPr="00322386">
        <w:rPr>
          <w:rFonts w:asciiTheme="majorBidi" w:hAnsiTheme="majorBidi" w:cstheme="majorBidi"/>
          <w:noProof/>
          <w:color w:val="000000" w:themeColor="text1"/>
          <w:szCs w:val="24"/>
        </w:rPr>
        <w:t xml:space="preserve">, vol. 11, p. 3789, Jan. 2021, doi: </w:t>
      </w:r>
      <w:r w:rsidRPr="00322386">
        <w:rPr>
          <w:rFonts w:asciiTheme="majorBidi" w:hAnsiTheme="majorBidi" w:cstheme="majorBidi"/>
          <w:noProof/>
          <w:color w:val="000000" w:themeColor="text1"/>
          <w:szCs w:val="24"/>
        </w:rPr>
        <w:lastRenderedPageBreak/>
        <w:t>10.3389/fpsyg.2020.613495.</w:t>
      </w:r>
    </w:p>
    <w:p w14:paraId="6C1202BE"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[33]</w:t>
      </w:r>
      <w:r w:rsidRPr="00322386">
        <w:rPr>
          <w:rFonts w:asciiTheme="majorBidi" w:hAnsiTheme="majorBidi" w:cstheme="majorBidi"/>
          <w:noProof/>
          <w:color w:val="000000" w:themeColor="text1"/>
          <w:szCs w:val="24"/>
        </w:rPr>
        <w:tab/>
        <w:t xml:space="preserve">A. Ammar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“Psychological consequences of COVID-19 home confinement: The ECLB-COVID19 multicenter study,” </w:t>
      </w:r>
      <w:r w:rsidRPr="00322386">
        <w:rPr>
          <w:rFonts w:asciiTheme="majorBidi" w:hAnsiTheme="majorBidi" w:cstheme="majorBidi"/>
          <w:i/>
          <w:iCs/>
          <w:noProof/>
          <w:color w:val="000000" w:themeColor="text1"/>
          <w:szCs w:val="24"/>
        </w:rPr>
        <w:t>PLoS One</w:t>
      </w:r>
      <w:r w:rsidRPr="00322386">
        <w:rPr>
          <w:rFonts w:asciiTheme="majorBidi" w:hAnsiTheme="majorBidi" w:cstheme="majorBidi"/>
          <w:noProof/>
          <w:color w:val="000000" w:themeColor="text1"/>
          <w:szCs w:val="24"/>
        </w:rPr>
        <w:t>, vol. 15, no. 11, p. e0240204, Nov. 2020, doi: 10.1371/journal.pone.0240204.</w:t>
      </w:r>
    </w:p>
    <w:p w14:paraId="0A0017A8"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[34]</w:t>
      </w:r>
      <w:r w:rsidRPr="00322386">
        <w:rPr>
          <w:rFonts w:asciiTheme="majorBidi" w:hAnsiTheme="majorBidi" w:cstheme="majorBidi"/>
          <w:noProof/>
          <w:color w:val="000000" w:themeColor="text1"/>
          <w:szCs w:val="24"/>
        </w:rPr>
        <w:tab/>
        <w:t xml:space="preserve">J. C. Meléndez, E. Satorres, M. Reyes-Olmedo, I. Delhom, E. Real, and Y. Lora, “Emotion recognition changes in a confinement situation due to COVID-19,” </w:t>
      </w:r>
      <w:r w:rsidRPr="00322386">
        <w:rPr>
          <w:rFonts w:asciiTheme="majorBidi" w:hAnsiTheme="majorBidi" w:cstheme="majorBidi"/>
          <w:i/>
          <w:iCs/>
          <w:noProof/>
          <w:color w:val="000000" w:themeColor="text1"/>
          <w:szCs w:val="24"/>
        </w:rPr>
        <w:t>J. Environ. Psychol.</w:t>
      </w:r>
      <w:r w:rsidRPr="00322386">
        <w:rPr>
          <w:rFonts w:asciiTheme="majorBidi" w:hAnsiTheme="majorBidi" w:cstheme="majorBidi"/>
          <w:noProof/>
          <w:color w:val="000000" w:themeColor="text1"/>
          <w:szCs w:val="24"/>
        </w:rPr>
        <w:t>, vol. 72, p. 101518, Dec. 2020, doi: 10.1016/j.jenvp.2020.101518.</w:t>
      </w:r>
    </w:p>
    <w:p w14:paraId="40983969"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[35]</w:t>
      </w:r>
      <w:r w:rsidRPr="00322386">
        <w:rPr>
          <w:rFonts w:asciiTheme="majorBidi" w:hAnsiTheme="majorBidi" w:cstheme="majorBidi"/>
          <w:noProof/>
          <w:color w:val="000000" w:themeColor="text1"/>
          <w:szCs w:val="24"/>
        </w:rPr>
        <w:tab/>
        <w:t xml:space="preserve">Y. Ding, J. Yang, T. Ji, and Y. Guo, “Women Suffered More Emotional and Life Distress than Men during the COVID-19 Pandemic: The Role of Pathogen Disgust Sensitivity,” </w:t>
      </w:r>
      <w:r w:rsidRPr="00322386">
        <w:rPr>
          <w:rFonts w:asciiTheme="majorBidi" w:hAnsiTheme="majorBidi" w:cstheme="majorBidi"/>
          <w:i/>
          <w:iCs/>
          <w:noProof/>
          <w:color w:val="000000" w:themeColor="text1"/>
          <w:szCs w:val="24"/>
        </w:rPr>
        <w:t>Int. J. Environ. Res. Public Heal. 2021, Vol. 18, Page 8539</w:t>
      </w:r>
      <w:r w:rsidRPr="00322386">
        <w:rPr>
          <w:rFonts w:asciiTheme="majorBidi" w:hAnsiTheme="majorBidi" w:cstheme="majorBidi"/>
          <w:noProof/>
          <w:color w:val="000000" w:themeColor="text1"/>
          <w:szCs w:val="24"/>
        </w:rPr>
        <w:t>, vol. 18, no. 16, p. 8539, Aug. 2021, doi: 10.3390/IJERPH18168539.</w:t>
      </w:r>
    </w:p>
    <w:p w14:paraId="2ADF3F85"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[36]</w:t>
      </w:r>
      <w:r w:rsidRPr="00322386">
        <w:rPr>
          <w:rFonts w:asciiTheme="majorBidi" w:hAnsiTheme="majorBidi" w:cstheme="majorBidi"/>
          <w:noProof/>
          <w:color w:val="000000" w:themeColor="text1"/>
          <w:szCs w:val="24"/>
        </w:rPr>
        <w:tab/>
        <w:t xml:space="preserve">N. Goel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“Effects of sex and gender on adaptation to space: Behavioral health,” </w:t>
      </w:r>
      <w:r w:rsidRPr="00322386">
        <w:rPr>
          <w:rFonts w:asciiTheme="majorBidi" w:hAnsiTheme="majorBidi" w:cstheme="majorBidi"/>
          <w:i/>
          <w:iCs/>
          <w:noProof/>
          <w:color w:val="000000" w:themeColor="text1"/>
          <w:szCs w:val="24"/>
        </w:rPr>
        <w:t>J. Women’s Heal.</w:t>
      </w:r>
      <w:r w:rsidRPr="00322386">
        <w:rPr>
          <w:rFonts w:asciiTheme="majorBidi" w:hAnsiTheme="majorBidi" w:cstheme="majorBidi"/>
          <w:noProof/>
          <w:color w:val="000000" w:themeColor="text1"/>
          <w:szCs w:val="24"/>
        </w:rPr>
        <w:t>, vol. 23, no. 11, pp. 975–986, Nov. 2014, doi: 10.1089/JWH.2014.4911/ASSET/IMAGES/LARGE/FIGURE6.JPEG.</w:t>
      </w:r>
    </w:p>
    <w:p w14:paraId="5194AB01"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[37]</w:t>
      </w:r>
      <w:r w:rsidRPr="00322386">
        <w:rPr>
          <w:rFonts w:asciiTheme="majorBidi" w:hAnsiTheme="majorBidi" w:cstheme="majorBidi"/>
          <w:noProof/>
          <w:color w:val="000000" w:themeColor="text1"/>
          <w:szCs w:val="24"/>
        </w:rPr>
        <w:tab/>
        <w:t xml:space="preserve">A. M. Spaeth, D. F. Dinges, and N. Goel, “Phenotypic vulnerability of energy balance responses to sleep loss in healthy adults,” </w:t>
      </w:r>
      <w:r w:rsidRPr="00322386">
        <w:rPr>
          <w:rFonts w:asciiTheme="majorBidi" w:hAnsiTheme="majorBidi" w:cstheme="majorBidi"/>
          <w:i/>
          <w:iCs/>
          <w:noProof/>
          <w:color w:val="000000" w:themeColor="text1"/>
          <w:szCs w:val="24"/>
        </w:rPr>
        <w:t>Sci. Reports 2015 51</w:t>
      </w:r>
      <w:r w:rsidRPr="00322386">
        <w:rPr>
          <w:rFonts w:asciiTheme="majorBidi" w:hAnsiTheme="majorBidi" w:cstheme="majorBidi"/>
          <w:noProof/>
          <w:color w:val="000000" w:themeColor="text1"/>
          <w:szCs w:val="24"/>
        </w:rPr>
        <w:t>, vol. 5, no. 1, pp. 1–7, Oct. 2015, doi: 10.1038/srep14920.</w:t>
      </w:r>
    </w:p>
    <w:p w14:paraId="4F712F76"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[38]</w:t>
      </w:r>
      <w:r w:rsidRPr="00322386">
        <w:rPr>
          <w:rFonts w:asciiTheme="majorBidi" w:hAnsiTheme="majorBidi" w:cstheme="majorBidi"/>
          <w:noProof/>
          <w:color w:val="000000" w:themeColor="text1"/>
          <w:szCs w:val="24"/>
        </w:rPr>
        <w:tab/>
        <w:t xml:space="preserve">D. F. Dinges, “Behavioral Health and Performance: An Overview,” in </w:t>
      </w:r>
      <w:r w:rsidRPr="00322386">
        <w:rPr>
          <w:rFonts w:asciiTheme="majorBidi" w:hAnsiTheme="majorBidi" w:cstheme="majorBidi"/>
          <w:i/>
          <w:iCs/>
          <w:noProof/>
          <w:color w:val="000000" w:themeColor="text1"/>
          <w:szCs w:val="24"/>
        </w:rPr>
        <w:t>Handbook of Bioastronautics</w:t>
      </w:r>
      <w:r w:rsidRPr="00322386">
        <w:rPr>
          <w:rFonts w:asciiTheme="majorBidi" w:hAnsiTheme="majorBidi" w:cstheme="majorBidi"/>
          <w:noProof/>
          <w:color w:val="000000" w:themeColor="text1"/>
          <w:szCs w:val="24"/>
        </w:rPr>
        <w:t>, Springer, Cham, 2020, pp. 1–4.</w:t>
      </w:r>
    </w:p>
    <w:p w14:paraId="4436A380"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[39]</w:t>
      </w:r>
      <w:r w:rsidRPr="00322386">
        <w:rPr>
          <w:rFonts w:asciiTheme="majorBidi" w:hAnsiTheme="majorBidi" w:cstheme="majorBidi"/>
          <w:noProof/>
          <w:color w:val="000000" w:themeColor="text1"/>
          <w:szCs w:val="24"/>
        </w:rPr>
        <w:tab/>
        <w:t xml:space="preserve">V. Abeln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“Exercise in isolation- A countermeasure for electrocortical, mental and cognitive impairments,” </w:t>
      </w:r>
      <w:r w:rsidRPr="00322386">
        <w:rPr>
          <w:rFonts w:asciiTheme="majorBidi" w:hAnsiTheme="majorBidi" w:cstheme="majorBidi"/>
          <w:i/>
          <w:iCs/>
          <w:noProof/>
          <w:color w:val="000000" w:themeColor="text1"/>
          <w:szCs w:val="24"/>
        </w:rPr>
        <w:t>PLoS One</w:t>
      </w:r>
      <w:r w:rsidRPr="00322386">
        <w:rPr>
          <w:rFonts w:asciiTheme="majorBidi" w:hAnsiTheme="majorBidi" w:cstheme="majorBidi"/>
          <w:noProof/>
          <w:color w:val="000000" w:themeColor="text1"/>
          <w:szCs w:val="24"/>
        </w:rPr>
        <w:t>, vol. 10, no. 5, May 2015, doi: 10.1371/journal.pone.0126356.</w:t>
      </w:r>
    </w:p>
    <w:p w14:paraId="7F2B32F9"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[40]</w:t>
      </w:r>
      <w:r w:rsidRPr="00322386">
        <w:rPr>
          <w:rFonts w:asciiTheme="majorBidi" w:hAnsiTheme="majorBidi" w:cstheme="majorBidi"/>
          <w:noProof/>
          <w:color w:val="000000" w:themeColor="text1"/>
          <w:szCs w:val="24"/>
        </w:rPr>
        <w:tab/>
        <w:t xml:space="preserve">S. Schneider </w:t>
      </w:r>
      <w:r w:rsidRPr="00322386">
        <w:rPr>
          <w:rFonts w:asciiTheme="majorBidi" w:hAnsiTheme="majorBidi" w:cstheme="majorBidi"/>
          <w:i/>
          <w:iCs/>
          <w:noProof/>
          <w:color w:val="000000" w:themeColor="text1"/>
          <w:szCs w:val="24"/>
        </w:rPr>
        <w:t>et al.</w:t>
      </w:r>
      <w:r w:rsidRPr="00322386">
        <w:rPr>
          <w:rFonts w:asciiTheme="majorBidi" w:hAnsiTheme="majorBidi" w:cstheme="majorBidi"/>
          <w:noProof/>
          <w:color w:val="000000" w:themeColor="text1"/>
          <w:szCs w:val="24"/>
        </w:rPr>
        <w:t xml:space="preserve">, “Exercise as a countermeasure to psycho-physiological deconditioning during long-term confinement,” </w:t>
      </w:r>
      <w:r w:rsidRPr="00322386">
        <w:rPr>
          <w:rFonts w:asciiTheme="majorBidi" w:hAnsiTheme="majorBidi" w:cstheme="majorBidi"/>
          <w:i/>
          <w:iCs/>
          <w:noProof/>
          <w:color w:val="000000" w:themeColor="text1"/>
          <w:szCs w:val="24"/>
        </w:rPr>
        <w:t>Behav. Brain Res.</w:t>
      </w:r>
      <w:r w:rsidRPr="00322386">
        <w:rPr>
          <w:rFonts w:asciiTheme="majorBidi" w:hAnsiTheme="majorBidi" w:cstheme="majorBidi"/>
          <w:noProof/>
          <w:color w:val="000000" w:themeColor="text1"/>
          <w:szCs w:val="24"/>
        </w:rPr>
        <w:t>, vol. 211, no. 2, pp. 208–214, Aug. 2010, doi: 10.1016/j.bbr.2010.03.034.</w:t>
      </w:r>
    </w:p>
    <w:p w14:paraId="374F739E"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[41]</w:t>
      </w:r>
      <w:r w:rsidRPr="00322386">
        <w:rPr>
          <w:rFonts w:asciiTheme="majorBidi" w:hAnsiTheme="majorBidi" w:cstheme="majorBidi"/>
          <w:noProof/>
          <w:color w:val="000000" w:themeColor="text1"/>
          <w:szCs w:val="24"/>
        </w:rPr>
        <w:tab/>
        <w:t xml:space="preserve">G. Friebel, M. Lalanne, B. Richter, P. Schwardmann, and P. Seabright, “Gender differences in social interactions,” </w:t>
      </w:r>
      <w:r w:rsidRPr="00322386">
        <w:rPr>
          <w:rFonts w:asciiTheme="majorBidi" w:hAnsiTheme="majorBidi" w:cstheme="majorBidi"/>
          <w:i/>
          <w:iCs/>
          <w:noProof/>
          <w:color w:val="000000" w:themeColor="text1"/>
          <w:szCs w:val="24"/>
        </w:rPr>
        <w:t>J. Econ. Behav. Organ.</w:t>
      </w:r>
      <w:r w:rsidRPr="00322386">
        <w:rPr>
          <w:rFonts w:asciiTheme="majorBidi" w:hAnsiTheme="majorBidi" w:cstheme="majorBidi"/>
          <w:noProof/>
          <w:color w:val="000000" w:themeColor="text1"/>
          <w:szCs w:val="24"/>
        </w:rPr>
        <w:t>, vol. 186, pp. 33–45, Jun. 2021, doi: 10.1016/J.JEBO.2021.03.016.</w:t>
      </w:r>
    </w:p>
    <w:p w14:paraId="7E13434B"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[42]</w:t>
      </w:r>
      <w:r w:rsidRPr="00322386">
        <w:rPr>
          <w:rFonts w:asciiTheme="majorBidi" w:hAnsiTheme="majorBidi" w:cstheme="majorBidi"/>
          <w:noProof/>
          <w:color w:val="000000" w:themeColor="text1"/>
          <w:szCs w:val="24"/>
        </w:rPr>
        <w:tab/>
        <w:t xml:space="preserve">Y. Borrega-Mouquinho, J. Sánchez-Gómez, J. P. Fuentes-García, D. Collado-Mateo, and S. Villafaina, “Effects of High-Intensity Interval Training and Moderate-Intensity Training on Stress, Depression, Anxiety, and Resilience in Healthy Adults During Coronavirus Disease 2019 Confinement: A Randomized Controlled Trial,” </w:t>
      </w:r>
      <w:r w:rsidRPr="00322386">
        <w:rPr>
          <w:rFonts w:asciiTheme="majorBidi" w:hAnsiTheme="majorBidi" w:cstheme="majorBidi"/>
          <w:i/>
          <w:iCs/>
          <w:noProof/>
          <w:color w:val="000000" w:themeColor="text1"/>
          <w:szCs w:val="24"/>
        </w:rPr>
        <w:t>Front. Psychol.</w:t>
      </w:r>
      <w:r w:rsidRPr="00322386">
        <w:rPr>
          <w:rFonts w:asciiTheme="majorBidi" w:hAnsiTheme="majorBidi" w:cstheme="majorBidi"/>
          <w:noProof/>
          <w:color w:val="000000" w:themeColor="text1"/>
          <w:szCs w:val="24"/>
        </w:rPr>
        <w:t>, vol. 12, p. 270, Feb. 2021, doi: 10.3389/fpsyg.2021.643069.</w:t>
      </w:r>
    </w:p>
    <w:p w14:paraId="44099EB7"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[43]</w:t>
      </w:r>
      <w:r w:rsidRPr="00322386">
        <w:rPr>
          <w:rFonts w:asciiTheme="majorBidi" w:hAnsiTheme="majorBidi" w:cstheme="majorBidi"/>
          <w:noProof/>
          <w:color w:val="000000" w:themeColor="text1"/>
          <w:szCs w:val="24"/>
        </w:rPr>
        <w:tab/>
        <w:t xml:space="preserve">K. Uvnäs-Moberg, “Physiological and endocrine effects of social contact,” in </w:t>
      </w:r>
      <w:r w:rsidRPr="00322386">
        <w:rPr>
          <w:rFonts w:asciiTheme="majorBidi" w:hAnsiTheme="majorBidi" w:cstheme="majorBidi"/>
          <w:i/>
          <w:iCs/>
          <w:noProof/>
          <w:color w:val="000000" w:themeColor="text1"/>
          <w:szCs w:val="24"/>
        </w:rPr>
        <w:t>Annals of the New York Academy of Sciences</w:t>
      </w:r>
      <w:r w:rsidRPr="00322386">
        <w:rPr>
          <w:rFonts w:asciiTheme="majorBidi" w:hAnsiTheme="majorBidi" w:cstheme="majorBidi"/>
          <w:noProof/>
          <w:color w:val="000000" w:themeColor="text1"/>
          <w:szCs w:val="24"/>
        </w:rPr>
        <w:t>, 1997, vol. 807, no. 1, pp. 146–163, doi: 10.1111/j.1749-6632.1997.tb51917.x.</w:t>
      </w:r>
    </w:p>
    <w:p w14:paraId="401A9FBB"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[44]</w:t>
      </w:r>
      <w:r w:rsidRPr="00322386">
        <w:rPr>
          <w:rFonts w:asciiTheme="majorBidi" w:hAnsiTheme="majorBidi" w:cstheme="majorBidi"/>
          <w:noProof/>
          <w:color w:val="000000" w:themeColor="text1"/>
          <w:szCs w:val="24"/>
        </w:rPr>
        <w:tab/>
        <w:t xml:space="preserve">K. D. Lincoln, “Social support, negative social interactions, and psychological well-being,” </w:t>
      </w:r>
      <w:r w:rsidRPr="00322386">
        <w:rPr>
          <w:rFonts w:asciiTheme="majorBidi" w:hAnsiTheme="majorBidi" w:cstheme="majorBidi"/>
          <w:i/>
          <w:iCs/>
          <w:noProof/>
          <w:color w:val="000000" w:themeColor="text1"/>
          <w:szCs w:val="24"/>
        </w:rPr>
        <w:t>Soc. Serv. Rev.</w:t>
      </w:r>
      <w:r w:rsidRPr="00322386">
        <w:rPr>
          <w:rFonts w:asciiTheme="majorBidi" w:hAnsiTheme="majorBidi" w:cstheme="majorBidi"/>
          <w:noProof/>
          <w:color w:val="000000" w:themeColor="text1"/>
          <w:szCs w:val="24"/>
        </w:rPr>
        <w:t>, vol. 74, no. 2, pp. 231–252, Jul. 2000, doi: 10.1086/514478.</w:t>
      </w:r>
    </w:p>
    <w:p w14:paraId="586EAD30"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[45]</w:t>
      </w:r>
      <w:r w:rsidRPr="00322386">
        <w:rPr>
          <w:rFonts w:asciiTheme="majorBidi" w:hAnsiTheme="majorBidi" w:cstheme="majorBidi"/>
          <w:noProof/>
          <w:color w:val="000000" w:themeColor="text1"/>
          <w:szCs w:val="24"/>
        </w:rPr>
        <w:tab/>
        <w:t xml:space="preserve">F. Nyqvist, A. K. Forsman, G. Giuntoli, and M. Cattan, “Social capital as a resource for mental well-being in older people: A systematic review,” </w:t>
      </w:r>
      <w:r w:rsidRPr="00322386">
        <w:rPr>
          <w:rFonts w:asciiTheme="majorBidi" w:hAnsiTheme="majorBidi" w:cstheme="majorBidi"/>
          <w:i/>
          <w:iCs/>
          <w:noProof/>
          <w:color w:val="000000" w:themeColor="text1"/>
          <w:szCs w:val="24"/>
        </w:rPr>
        <w:t>Aging and Mental Health</w:t>
      </w:r>
      <w:r w:rsidRPr="00322386">
        <w:rPr>
          <w:rFonts w:asciiTheme="majorBidi" w:hAnsiTheme="majorBidi" w:cstheme="majorBidi"/>
          <w:noProof/>
          <w:color w:val="000000" w:themeColor="text1"/>
          <w:szCs w:val="24"/>
        </w:rPr>
        <w:t>, vol. 17, no. 4. Taylor &amp; Francis Group, pp. 394–410, 01-May-2013, doi: 10.1080/13607863.2012.742490.</w:t>
      </w:r>
    </w:p>
    <w:p w14:paraId="28F6E5A1"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szCs w:val="24"/>
        </w:rPr>
      </w:pPr>
      <w:r w:rsidRPr="00322386">
        <w:rPr>
          <w:rFonts w:asciiTheme="majorBidi" w:hAnsiTheme="majorBidi" w:cstheme="majorBidi"/>
          <w:noProof/>
          <w:color w:val="000000" w:themeColor="text1"/>
          <w:szCs w:val="24"/>
        </w:rPr>
        <w:t>[46]</w:t>
      </w:r>
      <w:r w:rsidRPr="00322386">
        <w:rPr>
          <w:rFonts w:asciiTheme="majorBidi" w:hAnsiTheme="majorBidi" w:cstheme="majorBidi"/>
          <w:noProof/>
          <w:color w:val="000000" w:themeColor="text1"/>
          <w:szCs w:val="24"/>
        </w:rPr>
        <w:tab/>
        <w:t xml:space="preserve">A. Orben, L. Tomova, and S. J. Blakemore, “The effects of social deprivation on adolescent development and mental health,” </w:t>
      </w:r>
      <w:r w:rsidRPr="00322386">
        <w:rPr>
          <w:rFonts w:asciiTheme="majorBidi" w:hAnsiTheme="majorBidi" w:cstheme="majorBidi"/>
          <w:i/>
          <w:iCs/>
          <w:noProof/>
          <w:color w:val="000000" w:themeColor="text1"/>
          <w:szCs w:val="24"/>
        </w:rPr>
        <w:t>The Lancet Child and Adolescent Health</w:t>
      </w:r>
      <w:r w:rsidRPr="00322386">
        <w:rPr>
          <w:rFonts w:asciiTheme="majorBidi" w:hAnsiTheme="majorBidi" w:cstheme="majorBidi"/>
          <w:noProof/>
          <w:color w:val="000000" w:themeColor="text1"/>
          <w:szCs w:val="24"/>
        </w:rPr>
        <w:t>, vol. 4, no. 8. Elsevier, pp. 634–640, 01-Aug-2020, doi: 10.1016/S2352-4642(20)30186-3.</w:t>
      </w:r>
    </w:p>
    <w:p w14:paraId="22D40724" w14:textId="77777777" w:rsidR="00681DF8" w:rsidRPr="00322386" w:rsidRDefault="00681DF8" w:rsidP="00681DF8">
      <w:pPr>
        <w:widowControl w:val="0"/>
        <w:autoSpaceDE w:val="0"/>
        <w:autoSpaceDN w:val="0"/>
        <w:adjustRightInd w:val="0"/>
        <w:spacing w:before="240" w:after="240" w:line="240" w:lineRule="auto"/>
        <w:ind w:left="640" w:hanging="640"/>
        <w:rPr>
          <w:rFonts w:asciiTheme="majorBidi" w:hAnsiTheme="majorBidi" w:cstheme="majorBidi"/>
          <w:noProof/>
          <w:color w:val="000000" w:themeColor="text1"/>
        </w:rPr>
      </w:pPr>
      <w:r w:rsidRPr="00322386">
        <w:rPr>
          <w:rFonts w:asciiTheme="majorBidi" w:hAnsiTheme="majorBidi" w:cstheme="majorBidi"/>
          <w:noProof/>
          <w:color w:val="000000" w:themeColor="text1"/>
          <w:szCs w:val="24"/>
        </w:rPr>
        <w:t>[47]</w:t>
      </w:r>
      <w:r w:rsidRPr="00322386">
        <w:rPr>
          <w:rFonts w:asciiTheme="majorBidi" w:hAnsiTheme="majorBidi" w:cstheme="majorBidi"/>
          <w:noProof/>
          <w:color w:val="000000" w:themeColor="text1"/>
          <w:szCs w:val="24"/>
        </w:rPr>
        <w:tab/>
        <w:t xml:space="preserve">J. F. Helliwell, “Understanding and improving the social context of well-being,” </w:t>
      </w:r>
      <w:r w:rsidRPr="00322386">
        <w:rPr>
          <w:rFonts w:asciiTheme="majorBidi" w:hAnsiTheme="majorBidi" w:cstheme="majorBidi"/>
          <w:i/>
          <w:iCs/>
          <w:noProof/>
          <w:color w:val="000000" w:themeColor="text1"/>
          <w:szCs w:val="24"/>
        </w:rPr>
        <w:t>Well-Being and Beyond: Broadening the Public and Policy Discourse</w:t>
      </w:r>
      <w:r w:rsidRPr="00322386">
        <w:rPr>
          <w:rFonts w:asciiTheme="majorBidi" w:hAnsiTheme="majorBidi" w:cstheme="majorBidi"/>
          <w:noProof/>
          <w:color w:val="000000" w:themeColor="text1"/>
          <w:szCs w:val="24"/>
        </w:rPr>
        <w:t>, pp. 125–143, Jan. 2014, doi: 10.4337/9781783472901.00013.</w:t>
      </w:r>
    </w:p>
    <w:p w14:paraId="077CC1C7" w14:textId="7D6EC9FA" w:rsidR="006D4E60" w:rsidRPr="00322386" w:rsidRDefault="00601980" w:rsidP="00601980">
      <w:pPr>
        <w:spacing w:before="240" w:after="240" w:line="240" w:lineRule="auto"/>
        <w:jc w:val="both"/>
        <w:rPr>
          <w:rFonts w:asciiTheme="majorBidi" w:eastAsia="Times New Roman" w:hAnsiTheme="majorBidi" w:cstheme="majorBidi"/>
          <w:b/>
          <w:color w:val="000000" w:themeColor="text1"/>
          <w:sz w:val="24"/>
          <w:szCs w:val="24"/>
        </w:rPr>
      </w:pPr>
      <w:r w:rsidRPr="00322386">
        <w:rPr>
          <w:rFonts w:asciiTheme="majorBidi" w:hAnsiTheme="majorBidi" w:cstheme="majorBidi"/>
          <w:color w:val="000000" w:themeColor="text1"/>
        </w:rPr>
        <w:fldChar w:fldCharType="end"/>
      </w:r>
    </w:p>
    <w:sectPr w:rsidR="006D4E60" w:rsidRPr="00322386">
      <w:type w:val="continuous"/>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32E0B" w14:textId="77777777" w:rsidR="00D35890" w:rsidRDefault="00D35890">
      <w:pPr>
        <w:spacing w:line="240" w:lineRule="auto"/>
      </w:pPr>
      <w:r>
        <w:separator/>
      </w:r>
    </w:p>
  </w:endnote>
  <w:endnote w:type="continuationSeparator" w:id="0">
    <w:p w14:paraId="6AACF7EC" w14:textId="77777777" w:rsidR="00D35890" w:rsidRDefault="00D35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067A1" w14:textId="77777777" w:rsidR="006D4E60" w:rsidRDefault="00063B85">
    <w:r>
      <w:fldChar w:fldCharType="begin"/>
    </w:r>
    <w:r>
      <w:instrText>PAGE</w:instrText>
    </w:r>
    <w:r>
      <w:fldChar w:fldCharType="separate"/>
    </w:r>
    <w:r w:rsidR="004A6D7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681E9" w14:textId="77777777" w:rsidR="00D35890" w:rsidRDefault="00D35890">
      <w:pPr>
        <w:spacing w:line="240" w:lineRule="auto"/>
      </w:pPr>
      <w:r>
        <w:separator/>
      </w:r>
    </w:p>
  </w:footnote>
  <w:footnote w:type="continuationSeparator" w:id="0">
    <w:p w14:paraId="575173DE" w14:textId="77777777" w:rsidR="00D35890" w:rsidRDefault="00D358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83034"/>
    <w:multiLevelType w:val="multilevel"/>
    <w:tmpl w:val="0E3C5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8A42EE"/>
    <w:multiLevelType w:val="multilevel"/>
    <w:tmpl w:val="CACED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E60"/>
    <w:rsid w:val="00005BB6"/>
    <w:rsid w:val="00011833"/>
    <w:rsid w:val="00032F70"/>
    <w:rsid w:val="00063B85"/>
    <w:rsid w:val="00096730"/>
    <w:rsid w:val="000D3480"/>
    <w:rsid w:val="000F743D"/>
    <w:rsid w:val="00101938"/>
    <w:rsid w:val="001063CF"/>
    <w:rsid w:val="001B2ED3"/>
    <w:rsid w:val="001C1CE8"/>
    <w:rsid w:val="001E18CB"/>
    <w:rsid w:val="00322386"/>
    <w:rsid w:val="003A7987"/>
    <w:rsid w:val="004063D2"/>
    <w:rsid w:val="004A6D7B"/>
    <w:rsid w:val="00570A14"/>
    <w:rsid w:val="005A42C9"/>
    <w:rsid w:val="00601980"/>
    <w:rsid w:val="006414CB"/>
    <w:rsid w:val="00665550"/>
    <w:rsid w:val="00681DF8"/>
    <w:rsid w:val="006C4D06"/>
    <w:rsid w:val="006D0104"/>
    <w:rsid w:val="006D4E60"/>
    <w:rsid w:val="00740A95"/>
    <w:rsid w:val="00741553"/>
    <w:rsid w:val="007B41BF"/>
    <w:rsid w:val="007C2EFE"/>
    <w:rsid w:val="008457BD"/>
    <w:rsid w:val="008A1534"/>
    <w:rsid w:val="008F452A"/>
    <w:rsid w:val="00903316"/>
    <w:rsid w:val="00917AC8"/>
    <w:rsid w:val="00941CAD"/>
    <w:rsid w:val="00983535"/>
    <w:rsid w:val="009928C6"/>
    <w:rsid w:val="009D27A3"/>
    <w:rsid w:val="00A40184"/>
    <w:rsid w:val="00AF05A5"/>
    <w:rsid w:val="00B447BB"/>
    <w:rsid w:val="00C13A12"/>
    <w:rsid w:val="00CD35FB"/>
    <w:rsid w:val="00D13DEE"/>
    <w:rsid w:val="00D35890"/>
    <w:rsid w:val="00DC5ACA"/>
    <w:rsid w:val="00DD20B5"/>
    <w:rsid w:val="00F462CD"/>
    <w:rsid w:val="00F7115A"/>
    <w:rsid w:val="00FA0994"/>
    <w:rsid w:val="00FF15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82E84"/>
  <w15:docId w15:val="{FF9B1DCB-23B8-426E-8542-61BAC6A4F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0D3480"/>
    <w:pPr>
      <w:spacing w:after="200" w:line="240" w:lineRule="auto"/>
    </w:pPr>
    <w:rPr>
      <w:i/>
      <w:iCs/>
      <w:color w:val="1F497D" w:themeColor="text2"/>
      <w:sz w:val="18"/>
      <w:szCs w:val="18"/>
    </w:rPr>
  </w:style>
  <w:style w:type="table" w:styleId="TableGrid">
    <w:name w:val="Table Grid"/>
    <w:basedOn w:val="TableNormal"/>
    <w:uiPriority w:val="39"/>
    <w:rsid w:val="008A153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8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drive.google.com/drive/folders/19_BvPypGuaFgVlDfIAK5qnWlgUTSSv6a?usp=shari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99FC4-992A-477E-8C14-4899CBBC5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28227</Words>
  <Characters>160895</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Tannenbaum, Leon</cp:lastModifiedBy>
  <cp:revision>2</cp:revision>
  <dcterms:created xsi:type="dcterms:W3CDTF">2021-12-08T04:30:00Z</dcterms:created>
  <dcterms:modified xsi:type="dcterms:W3CDTF">2021-12-08T04:30:00Z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91829e22-da20-3c3f-9c1d-3aef350f3c16</vt:lpwstr>
  </property>
  <property fmtid="{D5CDD505-2E9C-101B-9397-08002B2CF9AE}" pid="4" name="Mendeley Citation Style_1">
    <vt:lpwstr>http://www.zotero.org/styles/ieee</vt:lpwstr>
  </property>
  <property fmtid="{D5CDD505-2E9C-101B-9397-08002B2CF9AE}" pid="5" name="Mendeley Recent Style Id 0_1">
    <vt:lpwstr>http://www.zotero.org/styles/aiaa-journal</vt:lpwstr>
  </property>
  <property fmtid="{D5CDD505-2E9C-101B-9397-08002B2CF9AE}" pid="6" name="Mendeley Recent Style Name 0_1">
    <vt:lpwstr>AIAA Journal</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