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Due Diligence Report - Consolidated</w:t>
      </w:r>
    </w:p>
    <w:p>
      <w:pPr>
        <w:pStyle w:val="Heading1"/>
      </w:pPr>
      <w:r>
        <w:t>Document Metadata</w:t>
      </w:r>
    </w:p>
    <w:p>
      <w:r>
        <w:rPr>
          <w:b/>
        </w:rPr>
        <w:t xml:space="preserve">company_name: </w:t>
      </w:r>
      <w:r>
        <w:t>Acme Corp</w:t>
      </w:r>
    </w:p>
    <w:p>
      <w:r>
        <w:rPr>
          <w:b/>
        </w:rPr>
        <w:t xml:space="preserve">jurisdiction: </w:t>
      </w:r>
      <w:r>
        <w:t>Helsinki, Finland</w:t>
      </w:r>
    </w:p>
    <w:p>
      <w:r>
        <w:rPr>
          <w:b/>
        </w:rPr>
        <w:t xml:space="preserve">last_updated: </w:t>
      </w:r>
      <w:r>
        <w:t>2026-01-06T20:00:51.673907</w:t>
      </w:r>
    </w:p>
    <w:p>
      <w:r>
        <w:rPr>
          <w:b/>
        </w:rPr>
        <w:t xml:space="preserve">sources_reviewed: </w:t>
      </w:r>
      <w:r>
        <w:t>['Acme_Customer_Onboarding_and_Service_Delivery (1).pdf', 'Acme_Customer_Onboarding_and_Service_Delivery.pdf', 'Acme_Data_Protection_and_Security_Process.pdf', 'Acme_Enriched_Financials.xlsx', 'Acme_Enriched_Investor_Deck.pptx', 'Acme_Market_QA_Investor_DD.pdf', 'Acme_Mobile_Investor_Deck_Enriched.pptx', 'Acme_Organization_and_Team_Investor_DD.pdf', 'Acme_Security_and_Compliance_Investor_DD.pdf']</w:t>
      </w:r>
    </w:p>
    <w:p>
      <w:pPr>
        <w:pStyle w:val="Heading1"/>
      </w:pPr>
      <w:r>
        <w:t>2. Company Overview</w:t>
      </w:r>
    </w:p>
    <w:p>
      <w:pPr>
        <w:pStyle w:val="Heading2"/>
      </w:pPr>
      <w:r>
        <w:t>2 1 Company Description</w:t>
      </w:r>
    </w:p>
    <w:p>
      <w:pPr>
        <w:pStyle w:val="ListBullet"/>
      </w:pPr>
      <w:r>
        <w:t>Acme Corp is a mobile productivity platform designed for high-velocity teamwork for SMBs.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ListBullet"/>
      </w:pPr>
      <w:r>
        <w:t>Acme Corp is a mobile-first productivity software company serving small and mid-sized businesses (SMBs). The company focuses on enabling high-velocity teamwork through an integrated mobile workspace combining tasks, documents, asynchronous communication, and AI-assisted prioritization.</w:t>
      </w:r>
      <w:r>
        <w:rPr>
          <w:color w:val="808080"/>
          <w:sz w:val="16"/>
        </w:rPr>
        <w:t xml:space="preserve"> [Source: Acme_Organization_and_Team_Investor_DD.pdf]</w:t>
      </w:r>
    </w:p>
    <w:p>
      <w:pPr>
        <w:pStyle w:val="Heading2"/>
      </w:pPr>
      <w:r>
        <w:t>2 2 Problem Statement</w:t>
      </w:r>
    </w:p>
    <w:p>
      <w:pPr>
        <w:pStyle w:val="ListBullet"/>
      </w:pPr>
      <w:r>
        <w:t>Knowledge workers juggle 6–10 tools daily, leading to context switching costs. Mobile-first teams lack reliable workflows, offline access, and governance on the go. SMBs adopt tools bottom-up but fail to scale them securely.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ListBullet"/>
      </w:pPr>
      <w:r>
        <w:t>Consumers manage dozens of physical and digital loyalty cards, creating friction at checkout.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Merchants lack real-time visibility into customer behavior and campaign performance.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Existing loyalty systems are fragmented, costly, and slow to deploy for SMB retailers.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Heading2"/>
      </w:pPr>
      <w:r>
        <w:t>2 3 Solution Overview</w:t>
      </w:r>
    </w:p>
    <w:p>
      <w:pPr>
        <w:pStyle w:val="ListBullet"/>
      </w:pPr>
      <w:r>
        <w:t>An all-in-one, mobile-first workspace combining tasks, lightweight project management, docs, structured knowledge, async video and voice updates, and embedded AI summarization and prioritization.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ListBullet"/>
      </w:pPr>
      <w:r>
        <w:t>Acme replaces physical loyalty cards with a single universal QR-based mobile wallet.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Merchants access an AI-driven analytics dashboard for customer insights, segmentation, and campaigns.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Deployment in &lt;1 day with no additional hardware required.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Heading1"/>
      </w:pPr>
      <w:r>
        <w:t>3. Market and Go-to-Market</w:t>
      </w:r>
    </w:p>
    <w:p>
      <w:pPr>
        <w:pStyle w:val="Heading2"/>
      </w:pPr>
      <w:r>
        <w:t>3 1 Market Overview</w:t>
      </w:r>
    </w:p>
    <w:p>
      <w:pPr>
        <w:pStyle w:val="ListBullet"/>
      </w:pPr>
      <w:r>
        <w:t>TAM: €12.5B — Global SMB collaboration &amp; productivity software; SAM: €3.1B — Mobile-first and hybrid-work SMBs in EU &amp; North America; SOM: €450M — Initial beachhead (10–500 employee companies). Tailwinds include BYOD, async-first work, AI copilots, and SMB SaaS consolidation.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ListBullet"/>
      </w:pPr>
      <w:r>
        <w:t>Shift to mobile-first workflows as hybrid and field-based work increases among SMB knowledge workers.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Rising adoption of asynchronous collaboration models reducing reliance on meetings.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SMB-driven consolidation of SaaS tools to reduce cost and operational complexity.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Acceleration of AI adoption in productivity software, particularly summarization and prioritization.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Bottom-up purchasing behavior enabling rapid team-level entry and expansion-driven growth.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Increased emphasis on GDPR-aligned and privacy-conscious software vendors in the EU market.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EU Retail Loyalty Software TAM: €18B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Serviceable Market (Nordics &amp; DACH): €1.2B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Tailwinds: cashless payments, mobile wallets, data-driven retail marketing.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Heading2"/>
      </w:pPr>
      <w:r>
        <w:t>3 3 Customer Acquisition And Sales Motion</w:t>
      </w:r>
    </w:p>
    <w:p>
      <w:pPr>
        <w:pStyle w:val="ListBullet"/>
      </w:pPr>
      <w:r>
        <w:t>Bottom-up adoption via free tier, sales-assisted expansion, and enterprise contracts. Primary channels include content, app marketplaces, and founder-led sales.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Heading2"/>
      </w:pPr>
      <w:r>
        <w:t>3 4 Competitive Landscape</w:t>
      </w:r>
    </w:p>
    <w:p>
      <w:pPr>
        <w:pStyle w:val="ListBullet"/>
      </w:pPr>
      <w:r>
        <w:t>Indirect: Notion, Slack, Asana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ListBullet"/>
      </w:pPr>
      <w:r>
        <w:t>Direct overlap: ClickUp, Monday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ListBullet"/>
      </w:pPr>
      <w:r>
        <w:t>ClickUp — Broad feature coverage with limited mobile-first design.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Monday.com — Strong workflow tooling with desktop-centric usage patterns.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Notion — Knowledge-centric platform with limited execution workflows.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Slack — Communication-focused tool lacking integrated task and document execution.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Asana — Project management-oriented with limited async media support.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Heading2"/>
      </w:pPr>
      <w:r>
        <w:t>3 5 Competitive Differentiation And Win Logic</w:t>
      </w:r>
    </w:p>
    <w:p>
      <w:pPr>
        <w:pStyle w:val="ListBullet"/>
      </w:pPr>
      <w:r>
        <w:t>Designed mobile-first, not desktop-adapted; offline sync &amp; low-bandwidth reliability; on-device AI for privacy-sensitive customers; fast SMB deployment velocity.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ListBullet"/>
      </w:pPr>
      <w:r>
        <w:t>Mobile-first user experience designed from inception.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Offline and low-bandwidth operation for distributed teams.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Integrated async video and voice updates.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On-device AI processing to address privacy and compliance concerns.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ListBullet"/>
      </w:pPr>
      <w:r>
        <w:t>Fast deployment and low operational overhead for SMB customers.</w:t>
      </w:r>
      <w:r>
        <w:rPr>
          <w:color w:val="808080"/>
          <w:sz w:val="16"/>
        </w:rPr>
        <w:t xml:space="preserve"> [Source: Acme_Market_QA_Investor_DD.pdf]</w:t>
      </w:r>
    </w:p>
    <w:p>
      <w:pPr>
        <w:pStyle w:val="Heading2"/>
      </w:pPr>
      <w:r>
        <w:t>3 2 Target Customers And Icp</w:t>
      </w:r>
    </w:p>
    <w:p>
      <w:pPr>
        <w:pStyle w:val="Heading1"/>
      </w:pPr>
      <w:r>
        <w:t>4. Product and Technology</w:t>
      </w:r>
    </w:p>
    <w:p>
      <w:pPr>
        <w:pStyle w:val="Heading2"/>
      </w:pPr>
      <w:r>
        <w:t>4 4 Technical Dependencies And Constraints</w:t>
      </w:r>
    </w:p>
    <w:p>
      <w:pPr>
        <w:pStyle w:val="ListBullet"/>
      </w:pPr>
      <w:r>
        <w:t>Customer data not used for model training by default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On-device AI processing for sensitive workflows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Configurable data retention policies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Amazon Web Services (AWS) — infrastructure hosting</w:t>
      </w:r>
      <w:r>
        <w:rPr>
          <w:color w:val="808080"/>
          <w:sz w:val="16"/>
        </w:rPr>
        <w:t xml:space="preserve"> [Source: Acme_Security_and_Compliance_Investor_DD.pdf]</w:t>
      </w:r>
    </w:p>
    <w:p>
      <w:pPr>
        <w:pStyle w:val="ListBullet"/>
      </w:pPr>
      <w:r>
        <w:t>Stripe — payment processing</w:t>
      </w:r>
      <w:r>
        <w:rPr>
          <w:color w:val="808080"/>
          <w:sz w:val="16"/>
        </w:rPr>
        <w:t xml:space="preserve"> [Source: Acme_Security_and_Compliance_Investor_DD.pdf]</w:t>
      </w:r>
    </w:p>
    <w:p>
      <w:pPr>
        <w:pStyle w:val="ListBullet"/>
      </w:pPr>
      <w:r>
        <w:t>Sentry — application monitoring and error tracking</w:t>
      </w:r>
      <w:r>
        <w:rPr>
          <w:color w:val="808080"/>
          <w:sz w:val="16"/>
        </w:rPr>
        <w:t xml:space="preserve"> [Source: Acme_Security_and_Compliance_Investor_DD.pdf]</w:t>
      </w:r>
    </w:p>
    <w:p>
      <w:pPr>
        <w:pStyle w:val="Heading2"/>
      </w:pPr>
      <w:r>
        <w:t>4 1 Product Description</w:t>
      </w:r>
    </w:p>
    <w:p>
      <w:pPr>
        <w:pStyle w:val="ListBullet"/>
      </w:pPr>
      <w:r>
        <w:t>An all-in-one, mobile-first workspace with tasks, project management, docs, structured knowledge, async video and voice updates, and embedded AI.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Heading2"/>
      </w:pPr>
      <w:r>
        <w:t>4 2 Product Maturity And Roadmap</w:t>
      </w:r>
    </w:p>
    <w:p>
      <w:r>
        <w:t>Q3: SOC 2 Type I audit, calendar integrations; Q4: Offline mode v2, admin analytics, SSO/SAML; Q1: ML-based task prioritization, workflow marketplace; Q2: Industry templates (consulting, construction, field services).</w:t>
      </w:r>
    </w:p>
    <w:p>
      <w:pPr>
        <w:pStyle w:val="Heading1"/>
      </w:pPr>
      <w:r>
        <w:t>6. Team and Organization</w:t>
      </w:r>
    </w:p>
    <w:p>
      <w:pPr>
        <w:pStyle w:val="Heading2"/>
      </w:pPr>
      <w:r>
        <w:t>6 1 Founders And Executive Team</w:t>
      </w:r>
    </w:p>
    <w:p>
      <w:pPr>
        <w:pStyle w:val="Heading2"/>
      </w:pPr>
      <w:r>
        <w:t>6 2 Key Staff And Advisors</w:t>
      </w:r>
    </w:p>
    <w:p>
      <w:pPr>
        <w:pStyle w:val="ListBullet"/>
      </w:pPr>
      <w:r>
        <w:t>10 FTE total: 8 engineers &amp; growth marketers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Advisors: former retail CIOs and payments industry executives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Senior iOS Engineer</w:t>
      </w:r>
      <w:r>
        <w:rPr>
          <w:color w:val="808080"/>
          <w:sz w:val="16"/>
        </w:rPr>
        <w:t xml:space="preserve"> [Source: Acme_Organization_and_Team_Investor_DD.pdf]</w:t>
      </w:r>
    </w:p>
    <w:p>
      <w:pPr>
        <w:pStyle w:val="ListBullet"/>
      </w:pPr>
      <w:r>
        <w:t>Senior Android Engineer</w:t>
      </w:r>
      <w:r>
        <w:rPr>
          <w:color w:val="808080"/>
          <w:sz w:val="16"/>
        </w:rPr>
        <w:t xml:space="preserve"> [Source: Acme_Organization_and_Team_Investor_DD.pdf]</w:t>
      </w:r>
    </w:p>
    <w:p>
      <w:pPr>
        <w:pStyle w:val="ListBullet"/>
      </w:pPr>
      <w:r>
        <w:t>Backend Engineer</w:t>
      </w:r>
      <w:r>
        <w:rPr>
          <w:color w:val="808080"/>
          <w:sz w:val="16"/>
        </w:rPr>
        <w:t xml:space="preserve"> [Source: Acme_Organization_and_Team_Investor_DD.pdf]</w:t>
      </w:r>
    </w:p>
    <w:p>
      <w:pPr>
        <w:pStyle w:val="ListBullet"/>
      </w:pPr>
      <w:r>
        <w:t>Sales Lead</w:t>
      </w:r>
      <w:r>
        <w:rPr>
          <w:color w:val="808080"/>
          <w:sz w:val="16"/>
        </w:rPr>
        <w:t xml:space="preserve"> [Source: Acme_Organization_and_Team_Investor_DD.pdf]</w:t>
      </w:r>
    </w:p>
    <w:p>
      <w:pPr>
        <w:pStyle w:val="ListBullet"/>
      </w:pPr>
      <w:r>
        <w:t>Customer Success Manager</w:t>
      </w:r>
      <w:r>
        <w:rPr>
          <w:color w:val="808080"/>
          <w:sz w:val="16"/>
        </w:rPr>
        <w:t xml:space="preserve"> [Source: Acme_Organization_and_Team_Investor_DD.pdf]</w:t>
      </w:r>
    </w:p>
    <w:p>
      <w:pPr>
        <w:pStyle w:val="ListBullet"/>
      </w:pPr>
      <w:r>
        <w:t>Marketing Manager</w:t>
      </w:r>
      <w:r>
        <w:rPr>
          <w:color w:val="808080"/>
          <w:sz w:val="16"/>
        </w:rPr>
        <w:t xml:space="preserve"> [Source: Acme_Organization_and_Team_Investor_DD.pdf]</w:t>
      </w:r>
    </w:p>
    <w:p>
      <w:pPr>
        <w:pStyle w:val="Heading2"/>
      </w:pPr>
      <w:r>
        <w:t>6 3 Organization Structure And Hiring Plan</w:t>
      </w:r>
    </w:p>
    <w:p>
      <w:r>
        <w:t>Current headcount is 10 full-time employees. Hiring plan includes adding 1 Account Executive, 1 DevOps / Site Reliability Engineer, and 1 Data Analyst in the next 6–9 months.</w:t>
      </w:r>
    </w:p>
    <w:p>
      <w:pPr>
        <w:pStyle w:val="Heading2"/>
      </w:pPr>
      <w:r>
        <w:t>6 4 Founder Commitment And Incentives</w:t>
      </w:r>
    </w:p>
    <w:p>
      <w:r>
        <w:t>Founder turnover: 0%.</w:t>
      </w:r>
    </w:p>
    <w:p>
      <w:pPr>
        <w:pStyle w:val="Heading1"/>
      </w:pPr>
      <w:r>
        <w:t>7. Customers and Traction</w:t>
      </w:r>
    </w:p>
    <w:p>
      <w:pPr>
        <w:pStyle w:val="Heading2"/>
      </w:pPr>
      <w:r>
        <w:t>7 3 Traction And Revenue Metrics</w:t>
      </w:r>
    </w:p>
    <w:p>
      <w:pPr>
        <w:pStyle w:val="ListBullet"/>
      </w:pPr>
      <w:r>
        <w:t>ARR: €6.0M, MRR: €500k, Net Revenue Retention: 122%, Gross Margin: 82–84%, 20 enterprise pilots converting to paid rollouts, CAC payback &lt; 12 months, Avg. ACV: €9.6k.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ListBullet"/>
      </w:pPr>
      <w:r>
        <w:t>MRR €500k (July 2025)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12% MoM growth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150k monthly active consumers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Average merchant ARPU: €1,250 / year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Churn &lt; 2.5% monthly (merchant)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Heading2"/>
      </w:pPr>
      <w:r>
        <w:t>7 2 Named Customers And Leads</w:t>
      </w:r>
    </w:p>
    <w:p>
      <w:pPr>
        <w:pStyle w:val="ListBullet"/>
      </w:pPr>
      <w:r>
        <w:t>400 paying merchant locations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Heading1"/>
      </w:pPr>
      <w:r>
        <w:t>8. Operations and Compliance</w:t>
      </w:r>
    </w:p>
    <w:p>
      <w:pPr>
        <w:pStyle w:val="Heading2"/>
      </w:pPr>
      <w:r>
        <w:t>8 1 Internal Processes</w:t>
      </w:r>
    </w:p>
    <w:p>
      <w:pPr>
        <w:pStyle w:val="ListBullet"/>
      </w:pPr>
      <w:r>
        <w:t>Define standardized onboarding and service delivery for Acme enterprise and SMB customers.</w:t>
      </w:r>
      <w:r>
        <w:rPr>
          <w:color w:val="808080"/>
          <w:sz w:val="16"/>
        </w:rPr>
        <w:t xml:space="preserve"> [Source: Acme_Customer_Onboarding_and_Service_Delivery (1).pdf]</w:t>
      </w:r>
    </w:p>
    <w:p>
      <w:pPr>
        <w:pStyle w:val="ListBullet"/>
      </w:pPr>
      <w:r>
        <w:t>Data minimization and purpose limitation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Encryption in transit and at rest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Separation of customer environments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24/7 on-call incident response rotation</w:t>
      </w:r>
      <w:r>
        <w:rPr>
          <w:color w:val="808080"/>
          <w:sz w:val="16"/>
        </w:rPr>
        <w:t xml:space="preserve"> [Source: Acme_Security_and_Compliance_Investor_DD.pdf]</w:t>
      </w:r>
    </w:p>
    <w:p>
      <w:pPr>
        <w:pStyle w:val="ListBullet"/>
      </w:pPr>
      <w:r>
        <w:t>Mean Time To Resolution (MTTR) target of 2 hours for critical incidents</w:t>
      </w:r>
      <w:r>
        <w:rPr>
          <w:color w:val="808080"/>
          <w:sz w:val="16"/>
        </w:rPr>
        <w:t xml:space="preserve"> [Source: Acme_Security_and_Compliance_Investor_DD.pdf]</w:t>
      </w:r>
    </w:p>
    <w:p>
      <w:pPr>
        <w:pStyle w:val="ListBullet"/>
      </w:pPr>
      <w:r>
        <w:t>Customers notified within 72 hours for material security incidents</w:t>
      </w:r>
      <w:r>
        <w:rPr>
          <w:color w:val="808080"/>
          <w:sz w:val="16"/>
        </w:rPr>
        <w:t xml:space="preserve"> [Source: Acme_Security_and_Compliance_Investor_DD.pdf]</w:t>
      </w:r>
    </w:p>
    <w:p>
      <w:pPr>
        <w:pStyle w:val="ListBullet"/>
      </w:pPr>
      <w:r>
        <w:t>Post-incident root cause analysis and remediation actions documented</w:t>
      </w:r>
      <w:r>
        <w:rPr>
          <w:color w:val="808080"/>
          <w:sz w:val="16"/>
        </w:rPr>
        <w:t xml:space="preserve"> [Source: Acme_Security_and_Compliance_Investor_DD.pdf]</w:t>
      </w:r>
    </w:p>
    <w:p>
      <w:pPr>
        <w:pStyle w:val="Heading2"/>
      </w:pPr>
      <w:r>
        <w:t>8 2 Tooling And Infrastructure</w:t>
      </w:r>
    </w:p>
    <w:p>
      <w:pPr>
        <w:pStyle w:val="ListBullet"/>
      </w:pPr>
      <w:r>
        <w:t>Role-based access control (RBAC)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Multi-factor authentication for admins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Audit logging of privileged actions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Heading2"/>
      </w:pPr>
      <w:r>
        <w:t>8 3 Regulatory And Compliance Status</w:t>
      </w:r>
    </w:p>
    <w:p>
      <w:pPr>
        <w:pStyle w:val="ListBullet"/>
      </w:pPr>
      <w:r>
        <w:t>GDPR-aligned processes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Annual penetration testing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ListBullet"/>
      </w:pPr>
      <w:r>
        <w:t>SOC 2 audit roadmap</w:t>
      </w:r>
      <w:r>
        <w:rPr>
          <w:color w:val="808080"/>
          <w:sz w:val="16"/>
        </w:rPr>
        <w:t xml:space="preserve"> [Source: Acme_Data_Protection_and_Security_Process.pdf]</w:t>
      </w:r>
    </w:p>
    <w:p>
      <w:pPr>
        <w:pStyle w:val="Heading1"/>
      </w:pPr>
      <w:r>
        <w:t>9. Financials</w:t>
      </w:r>
    </w:p>
    <w:p>
      <w:pPr>
        <w:pStyle w:val="Heading2"/>
      </w:pPr>
      <w:r>
        <w:t>9 1 Historical Financials</w:t>
      </w:r>
    </w:p>
    <w:p>
      <w:pPr>
        <w:pStyle w:val="ListBullet"/>
      </w:pPr>
      <w:r>
        <w:t>Revenue 2024 Actual: €6,000,000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COGS 2024 Actual: -€1,050,000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Gross Profit 2024 Actual: €4,950,000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Gross Margin % 2024 Actual: 82.5%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R&amp;D 2024 Actual: -€2,100,000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Sales &amp; Marketing 2024 Actual: -€1,450,000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G&amp;A 2024 Actual: -€850,000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Total Opex 2024 Actual: -€4,400,000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EBITDA 2024 Actual: €550,000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EBITDA Margin % 2024 Actual: 9.2%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Cash Burn (Annual) 2024 Actual: -€300,000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Ending Cash Balance 2024 Actual: €2,700,000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ARR: €6.0M, MRR: €500k</w:t>
      </w:r>
      <w:r>
        <w:rPr>
          <w:color w:val="808080"/>
          <w:sz w:val="16"/>
        </w:rPr>
        <w:t xml:space="preserve"> [Source: Acme_Enriched_Investor_Deck.pptx]</w:t>
      </w:r>
    </w:p>
    <w:p>
      <w:pPr>
        <w:pStyle w:val="Heading2"/>
      </w:pPr>
      <w:r>
        <w:t>9 2 Forecasts And Projections</w:t>
      </w:r>
    </w:p>
    <w:p>
      <w:pPr>
        <w:pStyle w:val="ListBullet"/>
      </w:pPr>
      <w:r>
        <w:t>Revenue 2025 Forecast: €9,500,000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Revenue 2026 Forecast: €15,000,000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COGS 2025 Forecast: -€1,520,000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COGS 2026 Forecast: -€2,250,000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Gross Profit 2025 Forecast: €7,980,000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Gross Profit 2026 Forecast: €12,750,000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Gross Margin % 2025 Forecast: 84.0%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Gross Margin % 2026 Forecast: 85.0%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R&amp;D 2025 Forecast: -€2,600,000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R&amp;D 2026 Forecast: -€3,200,000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Sales &amp; Marketing 2025 Forecast: -€2,200,000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Sales &amp; Marketing 2026 Forecast: -€3,200,000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G&amp;A 2025 Forecast: -€1,050,000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G&amp;A 2026 Forecast: -€1,350,000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Total Opex 2025 Forecast: -€5,850,000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Total Opex 2026 Forecast: -€7,750,000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EBITDA 2025 Forecast: €2,130,000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EBITDA 2026 Forecast: €5,000,000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EBITDA Margin % 2025 Forecast: 22.4%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EBITDA Margin % 2026 Forecast: 33.3%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Cash Burn (Annual) 2025 Forecast: -€1,100,000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Cash Burn (Annual) 2026 Forecast: €1,800,000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Ending Cash Balance 2025 Forecast: €1,600,000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ListBullet"/>
      </w:pPr>
      <w:r>
        <w:t>Ending Cash Balance 2026 Forecast: €3,400,000</w:t>
      </w:r>
      <w:r>
        <w:rPr>
          <w:color w:val="808080"/>
          <w:sz w:val="16"/>
        </w:rPr>
        <w:t xml:space="preserve"> [Source: Acme_Enriched_Financials.xlsx]</w:t>
      </w:r>
    </w:p>
    <w:p>
      <w:pPr>
        <w:pStyle w:val="Heading2"/>
      </w:pPr>
      <w:r>
        <w:t>9 4 Cash Position And Runway</w:t>
      </w:r>
    </w:p>
    <w:p>
      <w:pPr>
        <w:pStyle w:val="Heading2"/>
      </w:pPr>
      <w:r>
        <w:t>9 3 Unit Economics</w:t>
      </w:r>
    </w:p>
    <w:p>
      <w:pPr>
        <w:pStyle w:val="ListBullet"/>
      </w:pPr>
      <w:r>
        <w:t>Gross margin: 78%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Customer Acquisition Cost (CAC): €45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Lifetime Value (LTV): €310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ListBullet"/>
      </w:pPr>
      <w:r>
        <w:t>LTV / CAC: 6.9x</w:t>
      </w:r>
      <w:r>
        <w:rPr>
          <w:color w:val="808080"/>
          <w:sz w:val="16"/>
        </w:rPr>
        <w:t xml:space="preserve"> [Source: Acme_Mobile_Investor_Deck_Enriched.pptx]</w:t>
      </w:r>
    </w:p>
    <w:p>
      <w:pPr>
        <w:pStyle w:val="Heading1"/>
      </w:pPr>
      <w:r>
        <w:t>10. Funding and Capital Structure</w:t>
      </w:r>
    </w:p>
    <w:p>
      <w:pPr>
        <w:pStyle w:val="Heading2"/>
      </w:pPr>
      <w:r>
        <w:t>10 4 Use Of Funds</w:t>
      </w:r>
    </w:p>
    <w:p>
      <w:pPr>
        <w:pStyle w:val="Heading2"/>
      </w:pPr>
      <w:r>
        <w:t>10 3 Current Fundraising Round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