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59" w:lineRule="auto"/>
      </w:pPr>
      <w:r>
        <w:rPr>
          <w:rFonts w:ascii="Aptos" w:hAnsi="Aptos" w:eastAsia="Aptos"/>
          <w:b/>
          <w:i w:val="0"/>
          <w:color w:val="0F766E"/>
          <w:sz w:val="18"/>
        </w:rPr>
        <w:t>STRATEGY MEMO</w:t>
      </w:r>
    </w:p>
    <w:p>
      <w:pPr>
        <w:spacing w:before="560" w:after="160" w:line="235" w:lineRule="auto"/>
      </w:pPr>
      <w:r>
        <w:rPr>
          <w:rFonts w:ascii="Aptos" w:hAnsi="Aptos" w:eastAsia="Aptos"/>
          <w:b/>
          <w:i w:val="0"/>
          <w:color w:val="1F2A44"/>
          <w:sz w:val="60"/>
        </w:rPr>
        <w:t>Downtown Dubai</w:t>
        <w:br/>
        <w:t>Seller Intelligence Roadmap</w:t>
      </w:r>
    </w:p>
    <w:p>
      <w:pPr>
        <w:spacing w:before="0" w:after="320" w:line="259" w:lineRule="auto"/>
      </w:pPr>
      <w:r>
        <w:rPr>
          <w:rFonts w:ascii="Aptos" w:hAnsi="Aptos" w:eastAsia="Aptos"/>
          <w:b w:val="0"/>
          <w:i w:val="0"/>
          <w:color w:val="64748B"/>
          <w:sz w:val="23"/>
        </w:rPr>
        <w:t>A practical product direction for turning market movement, listing activity, and compliant lead workflows into daily seller opportunities.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Product thesis: </w:t>
      </w:r>
      <w:r>
        <w:rPr>
          <w:rFonts w:ascii="Aptos" w:hAnsi="Aptos" w:eastAsia="Aptos"/>
          <w:b w:val="0"/>
          <w:i w:val="0"/>
          <w:color w:val="111827"/>
          <w:sz w:val="19"/>
        </w:rPr>
        <w:t>Better seller timing beats bigger contact lists.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Core market: </w:t>
      </w:r>
      <w:r>
        <w:rPr>
          <w:rFonts w:ascii="Aptos" w:hAnsi="Aptos" w:eastAsia="Aptos"/>
          <w:b w:val="0"/>
          <w:i w:val="0"/>
          <w:color w:val="111827"/>
          <w:sz w:val="19"/>
        </w:rPr>
        <w:t>Downtown Dubai buildings, imported seller relationships, live listings, and market signals.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Prepared: </w:t>
      </w:r>
      <w:r>
        <w:rPr>
          <w:rFonts w:ascii="Aptos" w:hAnsi="Aptos" w:eastAsia="Aptos"/>
          <w:b w:val="0"/>
          <w:i w:val="0"/>
          <w:color w:val="111827"/>
          <w:sz w:val="19"/>
        </w:rPr>
        <w:t>24 April 2026</w:t>
      </w:r>
    </w:p>
    <w:p>
      <w:pPr>
        <w:spacing w:before="120" w:after="20" w:line="240" w:lineRule="auto"/>
        <w:shd w:fill="ECFDF5"/>
        <w:pBdr>
          <w:top w:val="single" w:sz="6" w:space="4" w:color="ECFDF5"/>
          <w:bottom w:val="single" w:sz="6" w:space="4" w:color="ECFDF5"/>
          <w:left w:val="single" w:sz="6" w:space="4" w:color="ECFDF5"/>
          <w:right w:val="single" w:sz="6" w:space="4" w:color="ECFDF5"/>
        </w:pBdr>
      </w:pPr>
      <w:r>
        <w:rPr>
          <w:rFonts w:ascii="Aptos" w:hAnsi="Aptos" w:eastAsia="Aptos"/>
          <w:b/>
          <w:i w:val="0"/>
          <w:color w:val="0F766E"/>
          <w:sz w:val="21"/>
        </w:rPr>
        <w:t xml:space="preserve">  Recommended end state</w:t>
      </w:r>
    </w:p>
    <w:p>
      <w:pPr>
        <w:spacing w:before="0" w:after="160" w:line="259" w:lineRule="auto"/>
        <w:shd w:fill="ECFDF5"/>
        <w:pBdr>
          <w:top w:val="single" w:sz="6" w:space="4" w:color="ECFDF5"/>
          <w:bottom w:val="single" w:sz="6" w:space="4" w:color="ECFDF5"/>
          <w:left w:val="single" w:sz="6" w:space="4" w:color="ECFDF5"/>
          <w:right w:val="single" w:sz="6" w:space="4" w:color="ECFDF5"/>
        </w:pBdr>
      </w:pPr>
      <w:r>
        <w:rPr>
          <w:rFonts w:ascii="Aptos" w:hAnsi="Aptos" w:eastAsia="Aptos"/>
          <w:b w:val="0"/>
          <w:i w:val="0"/>
          <w:color w:val="111827"/>
          <w:sz w:val="19"/>
        </w:rPr>
        <w:t xml:space="preserve">  Build a compliant seller-intelligence operating system. It should tell an agent which sellers, buildings, and listings are worth acting on today, why they matter, and what to say next.</w:t>
      </w:r>
    </w:p>
    <w:p>
      <w:r>
        <w:br w:type="page"/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Executive Direction</w:t>
      </w:r>
    </w:p>
    <w:p>
      <w:pPr>
        <w:spacing w:before="0" w:after="120" w:line="264" w:lineRule="auto"/>
      </w:pPr>
      <w:r>
        <w:rPr>
          <w:rFonts w:ascii="Aptos" w:hAnsi="Aptos" w:eastAsia="Aptos"/>
          <w:b w:val="0"/>
          <w:i w:val="0"/>
          <w:color w:val="111827"/>
          <w:sz w:val="20"/>
        </w:rPr>
        <w:t>The product should not chase raw owner-contact databases as the main advantage. Those lists are easy to copy, often unreliable, and can create privacy and telemarketing risk. The stronger product is a daily decision engine that combines legitimate market data, imported relationship data, listing activity, and workflow discipline.</w:t>
      </w:r>
    </w:p>
    <w:p>
      <w:pPr>
        <w:spacing w:before="0" w:after="120" w:line="264" w:lineRule="auto"/>
      </w:pPr>
      <w:r>
        <w:rPr>
          <w:rFonts w:ascii="Aptos" w:hAnsi="Aptos" w:eastAsia="Aptos"/>
          <w:b w:val="0"/>
          <w:i w:val="0"/>
          <w:color w:val="111827"/>
          <w:sz w:val="20"/>
        </w:rPr>
        <w:t>The promise should be simple: wake up, open the app, and know exactly which Downtown Dubai seller or listing to act on today.</w:t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What Exists Today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Seller CRM: spreadsheet imports, lead cards, statuses, notes, sent tracking, and WhatsApp message generation.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Market enrichment: building matching, transaction summaries, pricing context, and DLD/Bayut-style feeds.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Listing alerts: watched buildings, tracked listings, price movement history, and push-notification groundwork.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Automation: daily jobs, Supabase functions, listing cache, and enrichment reports.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Monetization groundwork: authentication, Stripe, RevenueCat, and mobile subscription architecture.</w:t>
      </w:r>
    </w:p>
    <w:p>
      <w:pPr>
        <w:spacing w:before="120" w:after="20" w:line="240" w:lineRule="auto"/>
        <w:shd w:fill="EFF6FF"/>
        <w:pBdr>
          <w:top w:val="single" w:sz="6" w:space="4" w:color="EFF6FF"/>
          <w:bottom w:val="single" w:sz="6" w:space="4" w:color="EFF6FF"/>
          <w:left w:val="single" w:sz="6" w:space="4" w:color="EFF6FF"/>
          <w:right w:val="single" w:sz="6" w:space="4" w:color="EFF6FF"/>
        </w:pBdr>
      </w:pPr>
      <w:r>
        <w:rPr>
          <w:rFonts w:ascii="Aptos" w:hAnsi="Aptos" w:eastAsia="Aptos"/>
          <w:b/>
          <w:i w:val="0"/>
          <w:color w:val="2563EB"/>
          <w:sz w:val="21"/>
        </w:rPr>
        <w:t xml:space="preserve">  Product shift</w:t>
      </w:r>
    </w:p>
    <w:p>
      <w:pPr>
        <w:spacing w:before="0" w:after="160" w:line="259" w:lineRule="auto"/>
        <w:shd w:fill="EFF6FF"/>
        <w:pBdr>
          <w:top w:val="single" w:sz="6" w:space="4" w:color="EFF6FF"/>
          <w:bottom w:val="single" w:sz="6" w:space="4" w:color="EFF6FF"/>
          <w:left w:val="single" w:sz="6" w:space="4" w:color="EFF6FF"/>
          <w:right w:val="single" w:sz="6" w:space="4" w:color="EFF6FF"/>
        </w:pBdr>
      </w:pPr>
      <w:r>
        <w:rPr>
          <w:rFonts w:ascii="Aptos" w:hAnsi="Aptos" w:eastAsia="Aptos"/>
          <w:b w:val="0"/>
          <w:i w:val="0"/>
          <w:color w:val="111827"/>
          <w:sz w:val="19"/>
        </w:rPr>
        <w:t xml:space="preserve">  Move from a database of rows to a ranked daily opportunity queue backed by market evidence and compliant outreach workflow.</w:t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Roadmap At A Glance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1. Data Trust: make every lead, building, and source auditable.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2. Market Graph: make every Downtown building an intelligence object.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3. Seller Signal Score: rank opportunities instead of showing raw lists.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4. Outreach Workflow: convert each signal into a task, message, outcome, and follow-up.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5. Paid Team Product: package the workflow for agents and managers.</w:t>
      </w:r>
    </w:p>
    <w:p>
      <w:r>
        <w:br w:type="page"/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Phased Roadmap</w:t>
      </w:r>
    </w:p>
    <w:p>
      <w:pPr>
        <w:spacing w:before="160" w:after="40" w:line="240" w:lineRule="auto"/>
        <w:shd w:fill="F8FAFC"/>
        <w:pBdr>
          <w:top w:val="single" w:sz="6" w:space="4" w:color="CBD5E1"/>
          <w:bottom w:val="single" w:sz="6" w:space="4" w:color="CBD5E1"/>
          <w:left w:val="single" w:sz="6" w:space="4" w:color="CBD5E1"/>
          <w:right w:val="single" w:sz="6" w:space="4" w:color="CBD5E1"/>
        </w:pBdr>
      </w:pPr>
      <w:r>
        <w:rPr>
          <w:rFonts w:ascii="Aptos" w:hAnsi="Aptos" w:eastAsia="Aptos"/>
          <w:b/>
          <w:i w:val="0"/>
          <w:color w:val="0F766E"/>
          <w:sz w:val="22"/>
        </w:rPr>
        <w:t xml:space="preserve">  Phase 1: Make The Data Trustworthy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Goal: </w:t>
      </w:r>
      <w:r>
        <w:rPr>
          <w:rFonts w:ascii="Aptos" w:hAnsi="Aptos" w:eastAsia="Aptos"/>
          <w:b w:val="0"/>
          <w:i w:val="0"/>
          <w:color w:val="111827"/>
          <w:sz w:val="19"/>
        </w:rPr>
        <w:t>Create one clean source of truth for Downtown Dubai buildings and seller leads.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Build: </w:t>
      </w:r>
      <w:r>
        <w:rPr>
          <w:rFonts w:ascii="Aptos" w:hAnsi="Aptos" w:eastAsia="Aptos"/>
          <w:b w:val="0"/>
          <w:i w:val="0"/>
          <w:color w:val="111827"/>
          <w:sz w:val="19"/>
        </w:rPr>
        <w:t>Canonical building registry, alias rules, duplicate detection, source tracking, source quality labels, and data health flags.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Output: </w:t>
      </w:r>
      <w:r>
        <w:rPr>
          <w:rFonts w:ascii="Aptos" w:hAnsi="Aptos" w:eastAsia="Aptos"/>
          <w:b w:val="0"/>
          <w:i w:val="0"/>
          <w:color w:val="111827"/>
          <w:sz w:val="19"/>
        </w:rPr>
        <w:t>A clean lead and building foundation where every record is either confidently matched or clearly flagged.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0F766E"/>
          <w:sz w:val="19"/>
        </w:rPr>
        <w:t xml:space="preserve">Success metric: </w:t>
      </w:r>
      <w:r>
        <w:rPr>
          <w:rFonts w:ascii="Aptos" w:hAnsi="Aptos" w:eastAsia="Aptos"/>
          <w:b w:val="0"/>
          <w:i w:val="0"/>
          <w:color w:val="111827"/>
          <w:sz w:val="19"/>
        </w:rPr>
        <w:t>90%+ of imported leads are matched to a building or marked as needing review.</w:t>
      </w:r>
    </w:p>
    <w:p>
      <w:pPr>
        <w:spacing w:before="160" w:after="40" w:line="240" w:lineRule="auto"/>
        <w:shd w:fill="F8FAFC"/>
        <w:pBdr>
          <w:top w:val="single" w:sz="6" w:space="4" w:color="CBD5E1"/>
          <w:bottom w:val="single" w:sz="6" w:space="4" w:color="CBD5E1"/>
          <w:left w:val="single" w:sz="6" w:space="4" w:color="CBD5E1"/>
          <w:right w:val="single" w:sz="6" w:space="4" w:color="CBD5E1"/>
        </w:pBdr>
      </w:pPr>
      <w:r>
        <w:rPr>
          <w:rFonts w:ascii="Aptos" w:hAnsi="Aptos" w:eastAsia="Aptos"/>
          <w:b/>
          <w:i w:val="0"/>
          <w:color w:val="2563EB"/>
          <w:sz w:val="22"/>
        </w:rPr>
        <w:t xml:space="preserve">  Phase 2: Build The Downtown Market Graph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Goal: </w:t>
      </w:r>
      <w:r>
        <w:rPr>
          <w:rFonts w:ascii="Aptos" w:hAnsi="Aptos" w:eastAsia="Aptos"/>
          <w:b w:val="0"/>
          <w:i w:val="0"/>
          <w:color w:val="111827"/>
          <w:sz w:val="19"/>
        </w:rPr>
        <w:t>Turn every target building into an intelligence page.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Build: </w:t>
      </w:r>
      <w:r>
        <w:rPr>
          <w:rFonts w:ascii="Aptos" w:hAnsi="Aptos" w:eastAsia="Aptos"/>
          <w:b w:val="0"/>
          <w:i w:val="0"/>
          <w:color w:val="111827"/>
          <w:sz w:val="19"/>
        </w:rPr>
        <w:t>Active listings, recent sales, price-per-sqft trend, listing count trend, price drops, cheapest active unit by bed type, supply pressure, and demand heat.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Output: </w:t>
      </w:r>
      <w:r>
        <w:rPr>
          <w:rFonts w:ascii="Aptos" w:hAnsi="Aptos" w:eastAsia="Aptos"/>
          <w:b w:val="0"/>
          <w:i w:val="0"/>
          <w:color w:val="111827"/>
          <w:sz w:val="19"/>
        </w:rPr>
        <w:t>A live market profile for every priority Downtown building.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Success metric: </w:t>
      </w:r>
      <w:r>
        <w:rPr>
          <w:rFonts w:ascii="Aptos" w:hAnsi="Aptos" w:eastAsia="Aptos"/>
          <w:b w:val="0"/>
          <w:i w:val="0"/>
          <w:color w:val="111827"/>
          <w:sz w:val="19"/>
        </w:rPr>
        <w:t>Top buildings refresh daily and show visible data freshness.</w:t>
      </w:r>
    </w:p>
    <w:p>
      <w:pPr>
        <w:spacing w:before="160" w:after="40" w:line="240" w:lineRule="auto"/>
        <w:shd w:fill="F8FAFC"/>
        <w:pBdr>
          <w:top w:val="single" w:sz="6" w:space="4" w:color="CBD5E1"/>
          <w:bottom w:val="single" w:sz="6" w:space="4" w:color="CBD5E1"/>
          <w:left w:val="single" w:sz="6" w:space="4" w:color="CBD5E1"/>
          <w:right w:val="single" w:sz="6" w:space="4" w:color="CBD5E1"/>
        </w:pBdr>
      </w:pPr>
      <w:r>
        <w:rPr>
          <w:rFonts w:ascii="Aptos" w:hAnsi="Aptos" w:eastAsia="Aptos"/>
          <w:b/>
          <w:i w:val="0"/>
          <w:color w:val="B45309"/>
          <w:sz w:val="22"/>
        </w:rPr>
        <w:t xml:space="preserve">  Phase 3: Create The Seller Signal Score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B45309"/>
          <w:sz w:val="19"/>
        </w:rPr>
        <w:t xml:space="preserve">Goal: </w:t>
      </w:r>
      <w:r>
        <w:rPr>
          <w:rFonts w:ascii="Aptos" w:hAnsi="Aptos" w:eastAsia="Aptos"/>
          <w:b w:val="0"/>
          <w:i w:val="0"/>
          <w:color w:val="111827"/>
          <w:sz w:val="19"/>
        </w:rPr>
        <w:t>Stop making agents inspect rows manually. Show ranked opportunities with reasons.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B45309"/>
          <w:sz w:val="19"/>
        </w:rPr>
        <w:t xml:space="preserve">Build: </w:t>
      </w:r>
      <w:r>
        <w:rPr>
          <w:rFonts w:ascii="Aptos" w:hAnsi="Aptos" w:eastAsia="Aptos"/>
          <w:b w:val="0"/>
          <w:i w:val="0"/>
          <w:color w:val="111827"/>
          <w:sz w:val="19"/>
        </w:rPr>
        <w:t>Scoring based on building movement, listing pressure, price drops, stale contact dates, missing data, and compliance/source risk.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B45309"/>
          <w:sz w:val="19"/>
        </w:rPr>
        <w:t xml:space="preserve">Output: </w:t>
      </w:r>
      <w:r>
        <w:rPr>
          <w:rFonts w:ascii="Aptos" w:hAnsi="Aptos" w:eastAsia="Aptos"/>
          <w:b w:val="0"/>
          <w:i w:val="0"/>
          <w:color w:val="111827"/>
          <w:sz w:val="19"/>
        </w:rPr>
        <w:t>Lead buckets: Act Today, Warm Follow-Up, Watch, Needs Data, and Do Not Contact.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B45309"/>
          <w:sz w:val="19"/>
        </w:rPr>
        <w:t xml:space="preserve">Success metric: </w:t>
      </w:r>
      <w:r>
        <w:rPr>
          <w:rFonts w:ascii="Aptos" w:hAnsi="Aptos" w:eastAsia="Aptos"/>
          <w:b w:val="0"/>
          <w:i w:val="0"/>
          <w:color w:val="111827"/>
          <w:sz w:val="19"/>
        </w:rPr>
        <w:t>Agents start each day from a ranked action queue, not a spreadsheet.</w:t>
      </w:r>
    </w:p>
    <w:p>
      <w:r>
        <w:br w:type="page"/>
      </w:r>
    </w:p>
    <w:p>
      <w:pPr>
        <w:spacing w:before="160" w:after="40" w:line="240" w:lineRule="auto"/>
        <w:shd w:fill="F8FAFC"/>
        <w:pBdr>
          <w:top w:val="single" w:sz="6" w:space="4" w:color="CBD5E1"/>
          <w:bottom w:val="single" w:sz="6" w:space="4" w:color="CBD5E1"/>
          <w:left w:val="single" w:sz="6" w:space="4" w:color="CBD5E1"/>
          <w:right w:val="single" w:sz="6" w:space="4" w:color="CBD5E1"/>
        </w:pBdr>
      </w:pPr>
      <w:r>
        <w:rPr>
          <w:rFonts w:ascii="Aptos" w:hAnsi="Aptos" w:eastAsia="Aptos"/>
          <w:b/>
          <w:i w:val="0"/>
          <w:color w:val="15803D"/>
          <w:sz w:val="22"/>
        </w:rPr>
        <w:t xml:space="preserve">  Phase 4: Own The Outreach Workflow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15803D"/>
          <w:sz w:val="19"/>
        </w:rPr>
        <w:t xml:space="preserve">Goal: </w:t>
      </w:r>
      <w:r>
        <w:rPr>
          <w:rFonts w:ascii="Aptos" w:hAnsi="Aptos" w:eastAsia="Aptos"/>
          <w:b w:val="0"/>
          <w:i w:val="0"/>
          <w:color w:val="111827"/>
          <w:sz w:val="19"/>
        </w:rPr>
        <w:t>Make the action happen inside the product.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15803D"/>
          <w:sz w:val="19"/>
        </w:rPr>
        <w:t xml:space="preserve">Build: </w:t>
      </w:r>
      <w:r>
        <w:rPr>
          <w:rFonts w:ascii="Aptos" w:hAnsi="Aptos" w:eastAsia="Aptos"/>
          <w:b w:val="0"/>
          <w:i w:val="0"/>
          <w:color w:val="111827"/>
          <w:sz w:val="19"/>
        </w:rPr>
        <w:t>Call queue, WhatsApp/email templates, contact timeline, outcome tracking, follow-up tasks, opt-out status, and source-of-data checks.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15803D"/>
          <w:sz w:val="19"/>
        </w:rPr>
        <w:t xml:space="preserve">Output: </w:t>
      </w:r>
      <w:r>
        <w:rPr>
          <w:rFonts w:ascii="Aptos" w:hAnsi="Aptos" w:eastAsia="Aptos"/>
          <w:b w:val="0"/>
          <w:i w:val="0"/>
          <w:color w:val="111827"/>
          <w:sz w:val="19"/>
        </w:rPr>
        <w:t>A closed loop from signal to conversation to next action.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15803D"/>
          <w:sz w:val="19"/>
        </w:rPr>
        <w:t xml:space="preserve">Success metric: </w:t>
      </w:r>
      <w:r>
        <w:rPr>
          <w:rFonts w:ascii="Aptos" w:hAnsi="Aptos" w:eastAsia="Aptos"/>
          <w:b w:val="0"/>
          <w:i w:val="0"/>
          <w:color w:val="111827"/>
          <w:sz w:val="19"/>
        </w:rPr>
        <w:t>Every contact attempt has an outcome and a next step.</w:t>
      </w:r>
    </w:p>
    <w:p>
      <w:pPr>
        <w:spacing w:before="160" w:after="40" w:line="240" w:lineRule="auto"/>
        <w:shd w:fill="F8FAFC"/>
        <w:pBdr>
          <w:top w:val="single" w:sz="6" w:space="4" w:color="CBD5E1"/>
          <w:bottom w:val="single" w:sz="6" w:space="4" w:color="CBD5E1"/>
          <w:left w:val="single" w:sz="6" w:space="4" w:color="CBD5E1"/>
          <w:right w:val="single" w:sz="6" w:space="4" w:color="CBD5E1"/>
        </w:pBdr>
      </w:pPr>
      <w:r>
        <w:rPr>
          <w:rFonts w:ascii="Aptos" w:hAnsi="Aptos" w:eastAsia="Aptos"/>
          <w:b/>
          <w:i w:val="0"/>
          <w:color w:val="2563EB"/>
          <w:sz w:val="22"/>
        </w:rPr>
        <w:t xml:space="preserve">  Phase 5: Package It As A Paid Team Tool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Goal: </w:t>
      </w:r>
      <w:r>
        <w:rPr>
          <w:rFonts w:ascii="Aptos" w:hAnsi="Aptos" w:eastAsia="Aptos"/>
          <w:b w:val="0"/>
          <w:i w:val="0"/>
          <w:color w:val="111827"/>
          <w:sz w:val="19"/>
        </w:rPr>
        <w:t>Turn the product into a repeatable operating system for agents and managers.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Build: </w:t>
      </w:r>
      <w:r>
        <w:rPr>
          <w:rFonts w:ascii="Aptos" w:hAnsi="Aptos" w:eastAsia="Aptos"/>
          <w:b w:val="0"/>
          <w:i w:val="0"/>
          <w:color w:val="111827"/>
          <w:sz w:val="19"/>
        </w:rPr>
        <w:t>Team workspaces, lead assignment, daily briefings, mobile push alerts, broker performance reports, and paid limits by leads, buildings, alerts, and seats.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Output: </w:t>
      </w:r>
      <w:r>
        <w:rPr>
          <w:rFonts w:ascii="Aptos" w:hAnsi="Aptos" w:eastAsia="Aptos"/>
          <w:b w:val="0"/>
          <w:i w:val="0"/>
          <w:color w:val="111827"/>
          <w:sz w:val="19"/>
        </w:rPr>
        <w:t>A commercially packaged seller-intelligence product.</w:t>
      </w:r>
    </w:p>
    <w:p>
      <w:pPr>
        <w:spacing w:before="20" w:after="40" w:line="252" w:lineRule="auto"/>
      </w:pPr>
      <w:r>
        <w:rPr>
          <w:rFonts w:ascii="Aptos" w:hAnsi="Aptos" w:eastAsia="Aptos"/>
          <w:b/>
          <w:i w:val="0"/>
          <w:color w:val="2563EB"/>
          <w:sz w:val="19"/>
        </w:rPr>
        <w:t xml:space="preserve">Success metric: </w:t>
      </w:r>
      <w:r>
        <w:rPr>
          <w:rFonts w:ascii="Aptos" w:hAnsi="Aptos" w:eastAsia="Aptos"/>
          <w:b w:val="0"/>
          <w:i w:val="0"/>
          <w:color w:val="111827"/>
          <w:sz w:val="19"/>
        </w:rPr>
        <w:t>Retention is driven by daily alerts, team usage, and measurable seller conversations.</w:t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90-Day Product Target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Import seller sheets and normalize messy building names automatically.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Watch target Downtown Dubai buildings and surface active listing movement.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Rank seller opportunities every morning with clear reasons.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Generate a tailored, market-backed message for each seller.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Track every outcome, follow-up, opt-out, and compliance/source note.</w:t>
      </w:r>
    </w:p>
    <w:p>
      <w:r>
        <w:br w:type="page"/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Immediate Next Actions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1. Define the Downtown building registry and alias rules as the canonical data backbone.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2. Add lead source quality fields: source type, import date, consent/source confidence, and opt-out status.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3. Create Seller Signal Score v1 and expose the reasons behind every score.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4. Connect price drops and active listing changes directly to seller follow-up tasks.</w:t>
      </w:r>
    </w:p>
    <w:p>
      <w:pPr>
        <w:spacing w:before="0" w:after="6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5. Build a daily briefing view covering top buildings, top sellers, new drops, and stale follow-ups.</w:t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Compliance Guardrails</w:t>
      </w:r>
    </w:p>
    <w:p>
      <w:pPr>
        <w:spacing w:before="0" w:after="120" w:line="264" w:lineRule="auto"/>
      </w:pPr>
      <w:r>
        <w:rPr>
          <w:rFonts w:ascii="Aptos" w:hAnsi="Aptos" w:eastAsia="Aptos"/>
          <w:b w:val="0"/>
          <w:i w:val="0"/>
          <w:color w:val="111827"/>
          <w:sz w:val="20"/>
        </w:rPr>
        <w:t>Treat names, phone numbers, emails, unit ownership, and contact history as personal data. The product should prefer legitimate market intelligence, first-party relationship data, consented inbound leads, and auditable outreach workflows over purchased owner-phone spreadsheets.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Store source and consent context for every imported lead.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Support opt-out and do-not-contact status at the lead level.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Avoid bulk cold outreach from unverified databases.</w:t>
      </w:r>
    </w:p>
    <w:p>
      <w:pPr>
        <w:spacing w:before="0" w:after="50" w:line="252" w:lineRule="auto"/>
      </w:pPr>
      <w:r>
        <w:rPr>
          <w:rFonts w:ascii="Aptos" w:hAnsi="Aptos" w:eastAsia="Aptos"/>
          <w:color w:val="111827"/>
          <w:sz w:val="19"/>
        </w:rPr>
      </w:r>
      <w:r>
        <w:rPr>
          <w:rFonts w:ascii="Aptos" w:hAnsi="Aptos" w:eastAsia="Aptos"/>
          <w:color w:val="111827"/>
          <w:sz w:val="19"/>
        </w:rPr>
        <w:t>- Keep market data and private contact data separated in the product model.</w:t>
      </w:r>
    </w:p>
    <w:p>
      <w:pPr>
        <w:spacing w:before="240" w:after="100" w:line="240" w:lineRule="auto"/>
      </w:pPr>
      <w:r>
        <w:rPr>
          <w:rFonts w:ascii="Aptos" w:hAnsi="Aptos" w:eastAsia="Aptos"/>
          <w:b/>
          <w:i w:val="0"/>
          <w:color w:val="1F2A44"/>
          <w:sz w:val="34"/>
        </w:rPr>
        <w:t>Useful Sources</w:t>
      </w:r>
    </w:p>
    <w:p>
      <w:pPr>
        <w:spacing w:before="0" w:after="60" w:line="252" w:lineRule="auto"/>
      </w:pPr>
      <w:hyperlink r:id="rId9">
        <w:r>
          <w:rPr>
            <w:color w:val="2563EB"/>
            <w:u w:val="single"/>
          </w:rPr>
          <w:t>Dubai Land Department - Real Estate Data</w:t>
        </w:r>
      </w:hyperlink>
    </w:p>
    <w:p>
      <w:pPr>
        <w:spacing w:before="0" w:after="60" w:line="252" w:lineRule="auto"/>
      </w:pPr>
      <w:hyperlink r:id="rId10">
        <w:r>
          <w:rPr>
            <w:color w:val="2563EB"/>
            <w:u w:val="single"/>
          </w:rPr>
          <w:t>UAE Federal Decree-Law No. 45 of 2021 - Personal Data Protection</w:t>
        </w:r>
      </w:hyperlink>
    </w:p>
    <w:p>
      <w:pPr>
        <w:spacing w:before="0" w:after="60" w:line="252" w:lineRule="auto"/>
      </w:pPr>
      <w:hyperlink r:id="rId11">
        <w:r>
          <w:rPr>
            <w:color w:val="2563EB"/>
            <w:u w:val="single"/>
          </w:rPr>
          <w:t>UAE Cabinet Resolution No. 56 of 2024 - Telemarketing Regulations</w:t>
        </w:r>
      </w:hyperlink>
    </w:p>
    <w:sectPr w:rsidR="00FC693F" w:rsidRPr="0006063C" w:rsidSect="00034616">
      <w:footerReference w:type="default" r:id="rId12"/>
      <w:pgSz w:w="12240" w:h="15840"/>
      <w:pgMar w:top="979" w:right="1094" w:bottom="835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 w:eastAsia="Aptos"/>
        <w:b w:val="0"/>
        <w:i w:val="0"/>
        <w:color w:val="64748B"/>
        <w:sz w:val="15"/>
      </w:rPr>
      <w:t>Downtown Dubai Seller Intelligence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color w:val="111827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color w:val="111827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color w:val="111827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ubailand.gov.ae/en/open-data/real-estate-data/" TargetMode="External"/><Relationship Id="rId10" Type="http://schemas.openxmlformats.org/officeDocument/2006/relationships/hyperlink" Target="https://uaelegislation.gov.ae/en/legislations/1972/download" TargetMode="External"/><Relationship Id="rId11" Type="http://schemas.openxmlformats.org/officeDocument/2006/relationships/hyperlink" Target="https://www.moet.gov.ae/documents/20121/0/English%2B%D9%82%D8%B1%D8%A7%D8%B1%2B%D9%85%D8%AC%D9%84%D8%B3%2B%D8%A7%D9%84%D9%88%D8%B2%D8%B1%D8%A7%D8%A1%2B%D8%B1%D9%82%D9%85%2B56%2B%D9%84%D8%B3%D9%86%D8%A9%2B2024%2B%D8%A8%D8%B4%D8%A7%D9%94%D9%86%2B%D8%AA%D9%86%D8%B8%D9%8A%D9%85%2B%D8%A7%D9%84%D8%AA%D8%B3%D9%88%D9%8A%D9%82%2B%D8%B9%D8%A8%D8%B1%2B%D8%A7%D9%84%D9%85%D9%83%D8%A7%D9%84%D9%85%D8%A7%D8%AA%2B%D8%A7%D9%84%D9%87%D8%A7%D8%AA%D9%81%D9%8A%D8%A9.pdf/8a81f5d0-ab74-b8a2-653b-657bf9b2544f?t=1725007365303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Downtown Dubai Seller Intelligence Roadmap</dc:title>
  <dc:subject>Product roadmap for a compliant real-estate seller intelligence platform</dc:subject>
  <dc:creator>Codex</dc:creator>
  <cp:keywords>Dubai real estate, seller intelligence, roadmap, compliance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