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6A5" w:rsidRDefault="008906A5" w:rsidP="008906A5">
      <w:pPr>
        <w:rPr>
          <w:rFonts w:ascii="Tahoma" w:hAnsi="Tahoma" w:cs="Tahoma"/>
          <w:color w:val="000000"/>
          <w:sz w:val="28"/>
          <w:szCs w:val="28"/>
          <w:shd w:val="clear" w:color="auto" w:fill="FFFFFF"/>
        </w:rPr>
      </w:pPr>
      <w:r w:rsidRPr="004A5EF8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2. Виды рабочих элементов в TFS. </w:t>
      </w:r>
      <w:proofErr w:type="gramStart"/>
      <w:r w:rsidRPr="001211CF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>Epics, Features, Backlog Items, Tasks.</w:t>
      </w:r>
      <w:proofErr w:type="gramEnd"/>
      <w:r w:rsidRPr="001211CF">
        <w:rPr>
          <w:rFonts w:ascii="Tahoma" w:hAnsi="Tahoma" w:cs="Tahoma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A5EF8">
        <w:rPr>
          <w:rFonts w:ascii="Tahoma" w:hAnsi="Tahoma" w:cs="Tahoma"/>
          <w:color w:val="000000"/>
          <w:sz w:val="28"/>
          <w:szCs w:val="28"/>
          <w:shd w:val="clear" w:color="auto" w:fill="FFFFFF"/>
        </w:rPr>
        <w:t>Особенности каждого рабочего элемента. Жизненный цикл каждого элемента.</w:t>
      </w:r>
    </w:p>
    <w:p w:rsidR="008906A5" w:rsidRDefault="008906A5" w:rsidP="008906A5">
      <w:pPr>
        <w:ind w:left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br/>
      </w:r>
      <w:r w:rsidRPr="00AC7640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Epic</w:t>
      </w:r>
      <w:r w:rsidRPr="00C50DBC">
        <w:rPr>
          <w:rFonts w:ascii="Times New Roman" w:hAnsi="Times New Roman" w:cs="Times New Roman"/>
          <w:b/>
          <w:sz w:val="32"/>
          <w:szCs w:val="32"/>
        </w:rPr>
        <w:t xml:space="preserve"> – точка поставки</w:t>
      </w:r>
      <w:r>
        <w:rPr>
          <w:rFonts w:ascii="Times New Roman" w:hAnsi="Times New Roman" w:cs="Times New Roman"/>
          <w:b/>
          <w:sz w:val="32"/>
          <w:szCs w:val="32"/>
        </w:rPr>
        <w:t xml:space="preserve"> – 1-6 месяцев</w:t>
      </w:r>
      <w:r>
        <w:rPr>
          <w:rFonts w:ascii="Times New Roman" w:hAnsi="Times New Roman" w:cs="Times New Roman"/>
          <w:b/>
          <w:sz w:val="32"/>
          <w:szCs w:val="32"/>
        </w:rPr>
        <w:br/>
        <w:t>ПРИМЕР</w:t>
      </w:r>
      <w:r w:rsidRPr="00C50DBC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развертывание сайта</w:t>
      </w:r>
    </w:p>
    <w:p w:rsidR="008906A5" w:rsidRPr="00C50DBC" w:rsidRDefault="008906A5" w:rsidP="008906A5">
      <w:pPr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50DBC">
        <w:rPr>
          <w:rFonts w:ascii="Times New Roman" w:hAnsi="Times New Roman" w:cs="Times New Roman"/>
          <w:b/>
          <w:sz w:val="24"/>
          <w:szCs w:val="24"/>
        </w:rPr>
        <w:t>Характеристики</w:t>
      </w:r>
      <w:r w:rsidRPr="00C50DB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906A5" w:rsidRDefault="008906A5" w:rsidP="008906A5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50DB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C50DBC">
        <w:rPr>
          <w:rFonts w:ascii="Times New Roman" w:hAnsi="Times New Roman" w:cs="Times New Roman"/>
          <w:b/>
          <w:sz w:val="24"/>
          <w:szCs w:val="24"/>
        </w:rPr>
        <w:t xml:space="preserve">1)полный цикл: </w:t>
      </w:r>
    </w:p>
    <w:p w:rsidR="008906A5" w:rsidRPr="00C50DBC" w:rsidRDefault="008906A5" w:rsidP="008906A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50DBC">
        <w:rPr>
          <w:rFonts w:ascii="Times New Roman" w:hAnsi="Times New Roman" w:cs="Times New Roman"/>
          <w:b/>
          <w:sz w:val="24"/>
          <w:szCs w:val="24"/>
        </w:rPr>
        <w:t>был анализ,</w:t>
      </w:r>
    </w:p>
    <w:p w:rsidR="008906A5" w:rsidRPr="00C50DBC" w:rsidRDefault="008906A5" w:rsidP="008906A5">
      <w:pPr>
        <w:pStyle w:val="a3"/>
        <w:numPr>
          <w:ilvl w:val="0"/>
          <w:numId w:val="2"/>
        </w:numPr>
      </w:pPr>
      <w:r w:rsidRPr="00C50DBC">
        <w:rPr>
          <w:rFonts w:ascii="Times New Roman" w:hAnsi="Times New Roman" w:cs="Times New Roman"/>
          <w:b/>
          <w:sz w:val="24"/>
          <w:szCs w:val="24"/>
        </w:rPr>
        <w:t>проектировани</w:t>
      </w:r>
      <w:r>
        <w:rPr>
          <w:rFonts w:ascii="Times New Roman" w:hAnsi="Times New Roman" w:cs="Times New Roman"/>
          <w:b/>
          <w:sz w:val="24"/>
          <w:szCs w:val="24"/>
        </w:rPr>
        <w:t>е</w:t>
      </w:r>
    </w:p>
    <w:p w:rsidR="008906A5" w:rsidRPr="00C50DBC" w:rsidRDefault="008906A5" w:rsidP="008906A5">
      <w:pPr>
        <w:pStyle w:val="a3"/>
        <w:numPr>
          <w:ilvl w:val="0"/>
          <w:numId w:val="2"/>
        </w:numPr>
      </w:pPr>
      <w:r w:rsidRPr="00C50DBC">
        <w:rPr>
          <w:rFonts w:ascii="Times New Roman" w:hAnsi="Times New Roman" w:cs="Times New Roman"/>
          <w:b/>
          <w:sz w:val="24"/>
          <w:szCs w:val="24"/>
        </w:rPr>
        <w:t>протоколирование</w:t>
      </w:r>
    </w:p>
    <w:p w:rsidR="008906A5" w:rsidRPr="00C50DBC" w:rsidRDefault="008906A5" w:rsidP="008906A5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b/>
          <w:sz w:val="24"/>
          <w:szCs w:val="24"/>
        </w:rPr>
        <w:t>тестирование</w:t>
      </w:r>
    </w:p>
    <w:p w:rsidR="008906A5" w:rsidRPr="00C50DBC" w:rsidRDefault="008906A5" w:rsidP="008906A5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b/>
          <w:sz w:val="24"/>
          <w:szCs w:val="24"/>
        </w:rPr>
        <w:t>развертывание</w:t>
      </w:r>
    </w:p>
    <w:p w:rsidR="008906A5" w:rsidRDefault="008906A5" w:rsidP="008906A5">
      <w:pPr>
        <w:pStyle w:val="a3"/>
        <w:ind w:left="1428"/>
        <w:rPr>
          <w:rFonts w:ascii="Times New Roman" w:hAnsi="Times New Roman" w:cs="Times New Roman"/>
          <w:b/>
          <w:sz w:val="32"/>
          <w:szCs w:val="32"/>
        </w:rPr>
      </w:pPr>
    </w:p>
    <w:p w:rsidR="008906A5" w:rsidRDefault="008906A5" w:rsidP="008906A5">
      <w:pPr>
        <w:ind w:left="708"/>
        <w:rPr>
          <w:rFonts w:ascii="Times New Roman" w:hAnsi="Times New Roman" w:cs="Times New Roman"/>
          <w:b/>
          <w:sz w:val="32"/>
          <w:szCs w:val="32"/>
        </w:rPr>
      </w:pPr>
      <w:r w:rsidRPr="00AC7640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FEATURE</w:t>
      </w:r>
      <w:r w:rsidRPr="00C50DBC">
        <w:rPr>
          <w:rFonts w:ascii="Times New Roman" w:hAnsi="Times New Roman" w:cs="Times New Roman"/>
          <w:b/>
          <w:sz w:val="32"/>
          <w:szCs w:val="32"/>
        </w:rPr>
        <w:t xml:space="preserve">– </w:t>
      </w:r>
      <w:r>
        <w:rPr>
          <w:rFonts w:ascii="Times New Roman" w:hAnsi="Times New Roman" w:cs="Times New Roman"/>
          <w:b/>
          <w:sz w:val="32"/>
          <w:szCs w:val="32"/>
        </w:rPr>
        <w:t xml:space="preserve">функциональная единица, несет конкретную ценность для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пользователя  -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КУСОК, ПОМОГАЮЩИЙ ЧЕМ-ТО–2 недели -1 месяц</w:t>
      </w:r>
      <w:r>
        <w:rPr>
          <w:rFonts w:ascii="Times New Roman" w:hAnsi="Times New Roman" w:cs="Times New Roman"/>
          <w:b/>
          <w:sz w:val="32"/>
          <w:szCs w:val="32"/>
        </w:rPr>
        <w:br/>
        <w:t>ПРИМЕР</w:t>
      </w:r>
      <w:r w:rsidRPr="00C50DBC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стена ВК</w:t>
      </w:r>
    </w:p>
    <w:p w:rsidR="008906A5" w:rsidRPr="00C50DBC" w:rsidRDefault="008906A5" w:rsidP="008906A5">
      <w:pPr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50DBC">
        <w:rPr>
          <w:rFonts w:ascii="Times New Roman" w:hAnsi="Times New Roman" w:cs="Times New Roman"/>
          <w:b/>
          <w:sz w:val="24"/>
          <w:szCs w:val="24"/>
        </w:rPr>
        <w:t>Характеристики</w:t>
      </w:r>
      <w:r w:rsidRPr="00C50DB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906A5" w:rsidRDefault="008906A5" w:rsidP="008906A5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50DB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C50DBC">
        <w:rPr>
          <w:rFonts w:ascii="Times New Roman" w:hAnsi="Times New Roman" w:cs="Times New Roman"/>
          <w:b/>
          <w:sz w:val="24"/>
          <w:szCs w:val="24"/>
        </w:rPr>
        <w:t xml:space="preserve">1)полный цикл: </w:t>
      </w:r>
    </w:p>
    <w:p w:rsidR="008906A5" w:rsidRPr="00C50DBC" w:rsidRDefault="008906A5" w:rsidP="008906A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50DBC">
        <w:rPr>
          <w:rFonts w:ascii="Times New Roman" w:hAnsi="Times New Roman" w:cs="Times New Roman"/>
          <w:b/>
          <w:sz w:val="24"/>
          <w:szCs w:val="24"/>
        </w:rPr>
        <w:t>был анализ,</w:t>
      </w:r>
    </w:p>
    <w:p w:rsidR="008906A5" w:rsidRPr="00C50DBC" w:rsidRDefault="008906A5" w:rsidP="008906A5">
      <w:pPr>
        <w:pStyle w:val="a3"/>
        <w:numPr>
          <w:ilvl w:val="0"/>
          <w:numId w:val="2"/>
        </w:numPr>
      </w:pPr>
      <w:r w:rsidRPr="00C50DBC">
        <w:rPr>
          <w:rFonts w:ascii="Times New Roman" w:hAnsi="Times New Roman" w:cs="Times New Roman"/>
          <w:b/>
          <w:sz w:val="24"/>
          <w:szCs w:val="24"/>
        </w:rPr>
        <w:t>проектировани</w:t>
      </w:r>
      <w:r>
        <w:rPr>
          <w:rFonts w:ascii="Times New Roman" w:hAnsi="Times New Roman" w:cs="Times New Roman"/>
          <w:b/>
          <w:sz w:val="24"/>
          <w:szCs w:val="24"/>
        </w:rPr>
        <w:t>е</w:t>
      </w:r>
    </w:p>
    <w:p w:rsidR="008906A5" w:rsidRPr="00C50DBC" w:rsidRDefault="008906A5" w:rsidP="008906A5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b/>
          <w:sz w:val="24"/>
          <w:szCs w:val="24"/>
        </w:rPr>
        <w:t>кодирование</w:t>
      </w:r>
    </w:p>
    <w:p w:rsidR="008906A5" w:rsidRPr="00C50DBC" w:rsidRDefault="008906A5" w:rsidP="008906A5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b/>
          <w:sz w:val="24"/>
          <w:szCs w:val="24"/>
        </w:rPr>
        <w:t>тестирование полноценное</w:t>
      </w:r>
    </w:p>
    <w:p w:rsidR="008906A5" w:rsidRPr="00C50DBC" w:rsidRDefault="008906A5" w:rsidP="008906A5">
      <w:pPr>
        <w:pStyle w:val="a3"/>
        <w:ind w:left="1428"/>
      </w:pPr>
    </w:p>
    <w:p w:rsidR="008906A5" w:rsidRDefault="008906A5" w:rsidP="008906A5">
      <w:pPr>
        <w:ind w:left="708"/>
        <w:rPr>
          <w:rFonts w:ascii="Times New Roman" w:hAnsi="Times New Roman" w:cs="Times New Roman"/>
          <w:b/>
          <w:sz w:val="32"/>
          <w:szCs w:val="32"/>
        </w:rPr>
      </w:pPr>
      <w:r w:rsidRPr="00AC7640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USER</w:t>
      </w:r>
      <w:r w:rsidRPr="00AC7640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Pr="00AC7640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STORY</w:t>
      </w:r>
      <w:r w:rsidRPr="00C50DBC">
        <w:rPr>
          <w:rFonts w:ascii="Times New Roman" w:hAnsi="Times New Roman" w:cs="Times New Roman"/>
          <w:b/>
          <w:sz w:val="32"/>
          <w:szCs w:val="32"/>
        </w:rPr>
        <w:t xml:space="preserve">– </w:t>
      </w:r>
      <w:r>
        <w:rPr>
          <w:rFonts w:ascii="Times New Roman" w:hAnsi="Times New Roman" w:cs="Times New Roman"/>
          <w:b/>
          <w:sz w:val="32"/>
          <w:szCs w:val="32"/>
        </w:rPr>
        <w:t>то что можно показать–1 -2 недели</w:t>
      </w:r>
      <w:r>
        <w:rPr>
          <w:rFonts w:ascii="Times New Roman" w:hAnsi="Times New Roman" w:cs="Times New Roman"/>
          <w:b/>
          <w:sz w:val="32"/>
          <w:szCs w:val="32"/>
        </w:rPr>
        <w:br/>
        <w:t>ПРИМЕР</w:t>
      </w:r>
      <w:r w:rsidRPr="00C50DBC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1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)успешная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регистрация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вк</w:t>
      </w:r>
      <w:proofErr w:type="spellEnd"/>
    </w:p>
    <w:p w:rsidR="008906A5" w:rsidRPr="00AC7640" w:rsidRDefault="008906A5" w:rsidP="008906A5">
      <w:pPr>
        <w:ind w:left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ab/>
      </w:r>
      <w:r w:rsidRPr="00AC7640">
        <w:rPr>
          <w:rFonts w:ascii="Times New Roman" w:hAnsi="Times New Roman" w:cs="Times New Roman"/>
          <w:b/>
          <w:sz w:val="32"/>
          <w:szCs w:val="32"/>
        </w:rPr>
        <w:tab/>
        <w:t>2)неуспешная регистрация</w:t>
      </w:r>
    </w:p>
    <w:p w:rsidR="008906A5" w:rsidRPr="00AC7640" w:rsidRDefault="008906A5" w:rsidP="008906A5">
      <w:pPr>
        <w:ind w:left="708"/>
        <w:rPr>
          <w:rFonts w:ascii="Times New Roman" w:hAnsi="Times New Roman" w:cs="Times New Roman"/>
          <w:b/>
          <w:sz w:val="32"/>
          <w:szCs w:val="32"/>
        </w:rPr>
      </w:pPr>
      <w:r w:rsidRPr="00AC7640">
        <w:rPr>
          <w:rFonts w:ascii="Times New Roman" w:hAnsi="Times New Roman" w:cs="Times New Roman"/>
          <w:b/>
          <w:sz w:val="32"/>
          <w:szCs w:val="32"/>
        </w:rPr>
        <w:tab/>
      </w:r>
      <w:r w:rsidRPr="00AC7640">
        <w:rPr>
          <w:rFonts w:ascii="Times New Roman" w:hAnsi="Times New Roman" w:cs="Times New Roman"/>
          <w:b/>
          <w:sz w:val="32"/>
          <w:szCs w:val="32"/>
        </w:rPr>
        <w:tab/>
        <w:t xml:space="preserve">3)логин уже </w:t>
      </w:r>
      <w:proofErr w:type="gramStart"/>
      <w:r w:rsidRPr="00AC7640">
        <w:rPr>
          <w:rFonts w:ascii="Times New Roman" w:hAnsi="Times New Roman" w:cs="Times New Roman"/>
          <w:b/>
          <w:sz w:val="32"/>
          <w:szCs w:val="32"/>
        </w:rPr>
        <w:t>зарегистрированного</w:t>
      </w:r>
      <w:proofErr w:type="gramEnd"/>
    </w:p>
    <w:p w:rsidR="008906A5" w:rsidRPr="001211CF" w:rsidRDefault="008906A5" w:rsidP="008906A5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50DBC">
        <w:rPr>
          <w:rFonts w:ascii="Times New Roman" w:hAnsi="Times New Roman" w:cs="Times New Roman"/>
          <w:b/>
          <w:sz w:val="24"/>
          <w:szCs w:val="24"/>
        </w:rPr>
        <w:t>Характеристики</w:t>
      </w:r>
      <w:r w:rsidRPr="001211CF">
        <w:rPr>
          <w:rFonts w:ascii="Times New Roman" w:hAnsi="Times New Roman" w:cs="Times New Roman"/>
          <w:b/>
          <w:sz w:val="24"/>
          <w:szCs w:val="24"/>
        </w:rPr>
        <w:t>:</w:t>
      </w:r>
    </w:p>
    <w:p w:rsidR="008906A5" w:rsidRDefault="008906A5" w:rsidP="008906A5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1211CF">
        <w:rPr>
          <w:rFonts w:ascii="Times New Roman" w:hAnsi="Times New Roman" w:cs="Times New Roman"/>
          <w:b/>
          <w:sz w:val="24"/>
          <w:szCs w:val="24"/>
        </w:rPr>
        <w:tab/>
      </w:r>
      <w:r w:rsidRPr="00C50DBC">
        <w:rPr>
          <w:rFonts w:ascii="Times New Roman" w:hAnsi="Times New Roman" w:cs="Times New Roman"/>
          <w:b/>
          <w:sz w:val="24"/>
          <w:szCs w:val="24"/>
        </w:rPr>
        <w:t xml:space="preserve">1)полный цикл: </w:t>
      </w:r>
    </w:p>
    <w:p w:rsidR="008906A5" w:rsidRPr="00C50DBC" w:rsidRDefault="008906A5" w:rsidP="008906A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50DBC">
        <w:rPr>
          <w:rFonts w:ascii="Times New Roman" w:hAnsi="Times New Roman" w:cs="Times New Roman"/>
          <w:b/>
          <w:sz w:val="24"/>
          <w:szCs w:val="24"/>
        </w:rPr>
        <w:t>был анализ,</w:t>
      </w:r>
    </w:p>
    <w:p w:rsidR="008906A5" w:rsidRPr="00C50DBC" w:rsidRDefault="008906A5" w:rsidP="008906A5">
      <w:pPr>
        <w:pStyle w:val="a3"/>
        <w:numPr>
          <w:ilvl w:val="0"/>
          <w:numId w:val="2"/>
        </w:numPr>
      </w:pPr>
      <w:r w:rsidRPr="00C50DBC">
        <w:rPr>
          <w:rFonts w:ascii="Times New Roman" w:hAnsi="Times New Roman" w:cs="Times New Roman"/>
          <w:b/>
          <w:sz w:val="24"/>
          <w:szCs w:val="24"/>
        </w:rPr>
        <w:lastRenderedPageBreak/>
        <w:t>проектировани</w:t>
      </w:r>
      <w:r>
        <w:rPr>
          <w:rFonts w:ascii="Times New Roman" w:hAnsi="Times New Roman" w:cs="Times New Roman"/>
          <w:b/>
          <w:sz w:val="24"/>
          <w:szCs w:val="24"/>
        </w:rPr>
        <w:t>е</w:t>
      </w:r>
    </w:p>
    <w:p w:rsidR="008906A5" w:rsidRPr="00C50DBC" w:rsidRDefault="008906A5" w:rsidP="008906A5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b/>
          <w:sz w:val="24"/>
          <w:szCs w:val="24"/>
        </w:rPr>
        <w:t>кодирование</w:t>
      </w:r>
    </w:p>
    <w:p w:rsidR="008906A5" w:rsidRPr="00CB0F2A" w:rsidRDefault="008906A5" w:rsidP="008906A5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b/>
          <w:sz w:val="24"/>
          <w:szCs w:val="24"/>
        </w:rPr>
        <w:t>тестирование кусочка</w:t>
      </w:r>
    </w:p>
    <w:p w:rsidR="008906A5" w:rsidRDefault="008906A5" w:rsidP="008906A5">
      <w:pPr>
        <w:ind w:left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TASK</w:t>
      </w:r>
      <w:r w:rsidRPr="00C50DBC">
        <w:rPr>
          <w:rFonts w:ascii="Times New Roman" w:hAnsi="Times New Roman" w:cs="Times New Roman"/>
          <w:b/>
          <w:sz w:val="32"/>
          <w:szCs w:val="32"/>
        </w:rPr>
        <w:t xml:space="preserve">– </w:t>
      </w:r>
      <w:r>
        <w:rPr>
          <w:rFonts w:ascii="Times New Roman" w:hAnsi="Times New Roman" w:cs="Times New Roman"/>
          <w:b/>
          <w:sz w:val="32"/>
          <w:szCs w:val="32"/>
        </w:rPr>
        <w:t>то что надо сделать человеку-исполнителю–1 -3 дня</w:t>
      </w:r>
      <w:r>
        <w:rPr>
          <w:rFonts w:ascii="Times New Roman" w:hAnsi="Times New Roman" w:cs="Times New Roman"/>
          <w:b/>
          <w:sz w:val="32"/>
          <w:szCs w:val="32"/>
        </w:rPr>
        <w:br/>
        <w:t>ПРИМЕР</w:t>
      </w:r>
      <w:r w:rsidRPr="00C50DBC">
        <w:rPr>
          <w:rFonts w:ascii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sz w:val="32"/>
          <w:szCs w:val="32"/>
        </w:rPr>
        <w:t>1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)проектирование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таблиц базы</w:t>
      </w:r>
    </w:p>
    <w:p w:rsidR="008906A5" w:rsidRPr="00AC7640" w:rsidRDefault="008906A5" w:rsidP="008906A5">
      <w:pPr>
        <w:ind w:left="70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ab/>
      </w:r>
      <w:r w:rsidRPr="00AC7640">
        <w:rPr>
          <w:rFonts w:ascii="Times New Roman" w:hAnsi="Times New Roman" w:cs="Times New Roman"/>
          <w:b/>
          <w:sz w:val="32"/>
          <w:szCs w:val="32"/>
        </w:rPr>
        <w:tab/>
        <w:t>2)</w:t>
      </w:r>
      <w:r>
        <w:rPr>
          <w:rFonts w:ascii="Times New Roman" w:hAnsi="Times New Roman" w:cs="Times New Roman"/>
          <w:b/>
          <w:sz w:val="32"/>
          <w:szCs w:val="32"/>
        </w:rPr>
        <w:t>генерация классов</w:t>
      </w:r>
    </w:p>
    <w:p w:rsidR="008906A5" w:rsidRPr="00CB0F2A" w:rsidRDefault="008906A5" w:rsidP="008906A5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50DBC">
        <w:rPr>
          <w:rFonts w:ascii="Times New Roman" w:hAnsi="Times New Roman" w:cs="Times New Roman"/>
          <w:b/>
          <w:sz w:val="24"/>
          <w:szCs w:val="24"/>
        </w:rPr>
        <w:t>Характеристики</w:t>
      </w:r>
      <w:r w:rsidRPr="00CB0F2A">
        <w:rPr>
          <w:rFonts w:ascii="Times New Roman" w:hAnsi="Times New Roman" w:cs="Times New Roman"/>
          <w:b/>
          <w:sz w:val="24"/>
          <w:szCs w:val="24"/>
        </w:rPr>
        <w:t>:</w:t>
      </w:r>
    </w:p>
    <w:p w:rsidR="008906A5" w:rsidRDefault="008906A5" w:rsidP="008906A5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CB0F2A">
        <w:rPr>
          <w:rFonts w:ascii="Times New Roman" w:hAnsi="Times New Roman" w:cs="Times New Roman"/>
          <w:b/>
          <w:sz w:val="24"/>
          <w:szCs w:val="24"/>
        </w:rPr>
        <w:tab/>
      </w:r>
      <w:r w:rsidRPr="00C50DBC">
        <w:rPr>
          <w:rFonts w:ascii="Times New Roman" w:hAnsi="Times New Roman" w:cs="Times New Roman"/>
          <w:b/>
          <w:sz w:val="24"/>
          <w:szCs w:val="24"/>
        </w:rPr>
        <w:t xml:space="preserve">1)полный цикл: </w:t>
      </w:r>
    </w:p>
    <w:p w:rsidR="008906A5" w:rsidRPr="00C50DBC" w:rsidRDefault="008906A5" w:rsidP="008906A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50DBC">
        <w:rPr>
          <w:rFonts w:ascii="Times New Roman" w:hAnsi="Times New Roman" w:cs="Times New Roman"/>
          <w:b/>
          <w:sz w:val="24"/>
          <w:szCs w:val="24"/>
        </w:rPr>
        <w:t>был анализ,</w:t>
      </w:r>
    </w:p>
    <w:p w:rsidR="008906A5" w:rsidRPr="00C50DBC" w:rsidRDefault="008906A5" w:rsidP="008906A5">
      <w:pPr>
        <w:pStyle w:val="a3"/>
        <w:numPr>
          <w:ilvl w:val="0"/>
          <w:numId w:val="2"/>
        </w:numPr>
      </w:pPr>
      <w:r w:rsidRPr="00C50DBC">
        <w:rPr>
          <w:rFonts w:ascii="Times New Roman" w:hAnsi="Times New Roman" w:cs="Times New Roman"/>
          <w:b/>
          <w:sz w:val="24"/>
          <w:szCs w:val="24"/>
        </w:rPr>
        <w:t>проектировани</w:t>
      </w:r>
      <w:r>
        <w:rPr>
          <w:rFonts w:ascii="Times New Roman" w:hAnsi="Times New Roman" w:cs="Times New Roman"/>
          <w:b/>
          <w:sz w:val="24"/>
          <w:szCs w:val="24"/>
        </w:rPr>
        <w:t>е</w:t>
      </w:r>
    </w:p>
    <w:p w:rsidR="008906A5" w:rsidRPr="00C50DBC" w:rsidRDefault="008906A5" w:rsidP="008906A5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b/>
          <w:sz w:val="24"/>
          <w:szCs w:val="24"/>
        </w:rPr>
        <w:t>кодирование</w:t>
      </w:r>
    </w:p>
    <w:p w:rsidR="008906A5" w:rsidRPr="00C50DBC" w:rsidRDefault="008906A5" w:rsidP="008906A5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b/>
          <w:sz w:val="24"/>
          <w:szCs w:val="24"/>
        </w:rPr>
        <w:t>тестирование кусочка</w:t>
      </w:r>
    </w:p>
    <w:p w:rsidR="008906A5" w:rsidRPr="00C50DBC" w:rsidRDefault="008906A5" w:rsidP="008906A5">
      <w:pPr>
        <w:pStyle w:val="a3"/>
        <w:numPr>
          <w:ilvl w:val="0"/>
          <w:numId w:val="2"/>
        </w:numPr>
      </w:pPr>
    </w:p>
    <w:p w:rsidR="008906A5" w:rsidRDefault="008906A5" w:rsidP="008906A5">
      <w:pPr>
        <w:ind w:left="708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C50DBC">
        <w:rPr>
          <w:rFonts w:ascii="Times New Roman" w:hAnsi="Times New Roman" w:cs="Times New Roman"/>
          <w:b/>
          <w:sz w:val="32"/>
          <w:szCs w:val="32"/>
        </w:rPr>
        <w:br/>
      </w:r>
      <w:r w:rsidRPr="001301AA">
        <w:rPr>
          <w:rFonts w:ascii="Times New Roman" w:hAnsi="Times New Roman" w:cs="Times New Roman"/>
          <w:b/>
          <w:color w:val="FF0000"/>
          <w:sz w:val="32"/>
          <w:szCs w:val="32"/>
        </w:rPr>
        <w:br/>
      </w:r>
      <w:r w:rsidRPr="001301AA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Backlog</w:t>
      </w:r>
      <w:r w:rsidRPr="001301A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Pr="001301AA"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  <w:t>Items</w:t>
      </w:r>
      <w:r w:rsidRPr="001301AA">
        <w:rPr>
          <w:rFonts w:ascii="Times New Roman" w:hAnsi="Times New Roman" w:cs="Times New Roman"/>
          <w:b/>
          <w:color w:val="FF0000"/>
          <w:sz w:val="32"/>
          <w:szCs w:val="32"/>
        </w:rPr>
        <w:tab/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- невыполненные </w:t>
      </w:r>
      <w:proofErr w:type="gramStart"/>
      <w:r>
        <w:rPr>
          <w:rFonts w:ascii="Times New Roman" w:hAnsi="Times New Roman" w:cs="Times New Roman"/>
          <w:b/>
          <w:color w:val="FF0000"/>
          <w:sz w:val="32"/>
          <w:szCs w:val="32"/>
        </w:rPr>
        <w:t>работы(</w:t>
      </w:r>
      <w:proofErr w:type="gramEnd"/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требования к продукту) </w:t>
      </w:r>
    </w:p>
    <w:p w:rsidR="008906A5" w:rsidRDefault="008906A5" w:rsidP="008906A5">
      <w:pPr>
        <w:pStyle w:val="1"/>
      </w:pPr>
      <w:r w:rsidRPr="002263DC">
        <w:rPr>
          <w:shd w:val="clear" w:color="auto" w:fill="FFFFFF"/>
        </w:rPr>
        <w:t xml:space="preserve">Понятие ценности для заказчика. Понятие архитектурной ценности. Модель </w:t>
      </w:r>
      <w:proofErr w:type="spellStart"/>
      <w:r w:rsidRPr="002263DC">
        <w:rPr>
          <w:shd w:val="clear" w:color="auto" w:fill="FFFFFF"/>
        </w:rPr>
        <w:t>Остервальдера</w:t>
      </w:r>
      <w:proofErr w:type="spellEnd"/>
      <w:r w:rsidRPr="002263DC">
        <w:rPr>
          <w:shd w:val="clear" w:color="auto" w:fill="FFFFFF"/>
        </w:rPr>
        <w:t>.</w:t>
      </w:r>
      <w:r>
        <w:rPr>
          <w:sz w:val="18"/>
          <w:szCs w:val="18"/>
          <w:shd w:val="clear" w:color="auto" w:fill="FFFFFF"/>
        </w:rPr>
        <w:br/>
      </w:r>
    </w:p>
    <w:p w:rsidR="008906A5" w:rsidRDefault="008906A5" w:rsidP="008906A5">
      <w:pPr>
        <w:rPr>
          <w:rFonts w:ascii="Arial" w:hAnsi="Arial" w:cs="Arial"/>
          <w:color w:val="3D3D3D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Суть сводилась к тому, что сервисный подход есть концепция, перенесенная в </w:t>
      </w:r>
      <w:proofErr w:type="gramStart"/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>ИТ</w:t>
      </w:r>
      <w:proofErr w:type="gramEnd"/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из традиционного бизнеса. Она заключается в том, что </w:t>
      </w:r>
      <w:proofErr w:type="spellStart"/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>ИТ-организации</w:t>
      </w:r>
      <w:proofErr w:type="spellEnd"/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меняют фокус в диалоге с заказчиками – ставят во главу угла не области собственной компетенции (сети, приложения, базы данных), а </w:t>
      </w:r>
      <w:r w:rsidRPr="00542D19"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  <w:t>ценность для заказчика</w:t>
      </w:r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, которую все эти компетенции, будучи правильно организованы, могут обеспечить. Именно так выживают и развиваются компании, оказывающие услуги на коммерческой основе, </w:t>
      </w:r>
      <w:proofErr w:type="gramStart"/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>внутренним</w:t>
      </w:r>
      <w:proofErr w:type="gramEnd"/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>ИТ-поставщикам</w:t>
      </w:r>
      <w:proofErr w:type="spellEnd"/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 xml:space="preserve"> это свойственно в гораздо меньшей степени.</w:t>
      </w:r>
    </w:p>
    <w:p w:rsidR="008906A5" w:rsidRPr="00342B07" w:rsidRDefault="008906A5" w:rsidP="008906A5">
      <w:pPr>
        <w:rPr>
          <w:rFonts w:ascii="Arial" w:hAnsi="Arial" w:cs="Arial"/>
          <w:color w:val="3D3D3D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3D3D3D"/>
          <w:sz w:val="21"/>
          <w:szCs w:val="21"/>
          <w:shd w:val="clear" w:color="auto" w:fill="FFFFFF"/>
        </w:rPr>
        <w:t>ТРУБА</w:t>
      </w:r>
      <w:r>
        <w:rPr>
          <w:rFonts w:ascii="Arial" w:hAnsi="Arial" w:cs="Arial"/>
          <w:color w:val="3D3D3D"/>
          <w:sz w:val="21"/>
          <w:szCs w:val="21"/>
          <w:shd w:val="clear" w:color="auto" w:fill="FFFFFF"/>
          <w:lang w:val="en-US"/>
        </w:rPr>
        <w:t>:</w:t>
      </w:r>
      <w:r>
        <w:rPr>
          <w:rFonts w:ascii="Arial" w:hAnsi="Arial" w:cs="Arial"/>
          <w:color w:val="3D3D3D"/>
          <w:sz w:val="21"/>
          <w:szCs w:val="21"/>
          <w:shd w:val="clear" w:color="auto" w:fill="FFFFFF"/>
          <w:lang w:val="en-US"/>
        </w:rPr>
        <w:br/>
      </w:r>
    </w:p>
    <w:p w:rsidR="008906A5" w:rsidRDefault="008906A5" w:rsidP="008906A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586561"/>
            <wp:effectExtent l="19050" t="0" r="3175" b="0"/>
            <wp:docPr id="16" name="Рисунок 8" descr="C:\Users\Андрей\Desktop\МОРОЗОВ\ост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ндрей\Desktop\МОРОЗОВ\остер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6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6A5" w:rsidRPr="00342B07" w:rsidRDefault="008906A5" w:rsidP="008906A5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42B07">
        <w:rPr>
          <w:rFonts w:ascii="Georgia" w:eastAsia="Times New Roman" w:hAnsi="Georgia" w:cs="Times New Roman"/>
          <w:b/>
          <w:bCs/>
          <w:color w:val="000000"/>
          <w:sz w:val="20"/>
        </w:rPr>
        <w:t>Ценностное предложение</w:t>
      </w:r>
      <w:r w:rsidRPr="00342B07">
        <w:rPr>
          <w:rFonts w:ascii="Georgia" w:eastAsia="Times New Roman" w:hAnsi="Georgia" w:cs="Times New Roman"/>
          <w:color w:val="000000"/>
          <w:sz w:val="20"/>
        </w:rPr>
        <w:t> </w:t>
      </w:r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 xml:space="preserve">– совокупность преимуществ, которые компания готова предложить потребителю. </w:t>
      </w:r>
      <w:proofErr w:type="gramStart"/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 xml:space="preserve">Например, новизна, производительность, изготовление на заказ, помочь делать ему свою работу (авиакомпании платят </w:t>
      </w:r>
      <w:proofErr w:type="spellStart"/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>Rolls-Royce</w:t>
      </w:r>
      <w:proofErr w:type="spellEnd"/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 xml:space="preserve"> за каждый час работы их двигателей), дизайн, бренд/статус, цена, экономия на расходах, снижение риска, доступность, удобство/применимость.</w:t>
      </w:r>
      <w:proofErr w:type="gramEnd"/>
    </w:p>
    <w:p w:rsidR="008906A5" w:rsidRPr="00342B07" w:rsidRDefault="008906A5" w:rsidP="008906A5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42B07">
        <w:rPr>
          <w:rFonts w:ascii="Georgia" w:eastAsia="Times New Roman" w:hAnsi="Georgia" w:cs="Times New Roman"/>
          <w:b/>
          <w:bCs/>
          <w:color w:val="000000"/>
          <w:sz w:val="20"/>
        </w:rPr>
        <w:t>Каналы сбыта </w:t>
      </w:r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>выполняют ряд функций, в частности:</w:t>
      </w:r>
    </w:p>
    <w:p w:rsidR="008906A5" w:rsidRPr="00342B07" w:rsidRDefault="008906A5" w:rsidP="008906A5">
      <w:pPr>
        <w:numPr>
          <w:ilvl w:val="0"/>
          <w:numId w:val="3"/>
        </w:numPr>
        <w:pBdr>
          <w:top w:val="dashed" w:sz="6" w:space="11" w:color="D4CECD"/>
          <w:left w:val="dashed" w:sz="6" w:space="15" w:color="D4CECD"/>
          <w:bottom w:val="single" w:sz="6" w:space="5" w:color="D3CFCD"/>
          <w:right w:val="dashed" w:sz="6" w:space="15" w:color="D4CECD"/>
        </w:pBdr>
        <w:shd w:val="clear" w:color="auto" w:fill="F5F0EE"/>
        <w:spacing w:after="0" w:line="300" w:lineRule="atLeast"/>
        <w:ind w:left="450" w:right="150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>повышают степень осведомленности потребителя о товарах и услугах компании;</w:t>
      </w:r>
    </w:p>
    <w:p w:rsidR="008906A5" w:rsidRPr="00342B07" w:rsidRDefault="008906A5" w:rsidP="008906A5">
      <w:pPr>
        <w:numPr>
          <w:ilvl w:val="0"/>
          <w:numId w:val="3"/>
        </w:numPr>
        <w:pBdr>
          <w:top w:val="dashed" w:sz="6" w:space="11" w:color="D4CECD"/>
          <w:left w:val="dashed" w:sz="6" w:space="15" w:color="D4CECD"/>
          <w:bottom w:val="single" w:sz="6" w:space="5" w:color="D3CFCD"/>
          <w:right w:val="dashed" w:sz="6" w:space="15" w:color="D4CECD"/>
        </w:pBdr>
        <w:shd w:val="clear" w:color="auto" w:fill="F5F0EE"/>
        <w:spacing w:after="0" w:line="300" w:lineRule="atLeast"/>
        <w:ind w:left="450" w:right="150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>помогают оценить ценностные предложения компании;</w:t>
      </w:r>
    </w:p>
    <w:p w:rsidR="008906A5" w:rsidRPr="00342B07" w:rsidRDefault="008906A5" w:rsidP="008906A5">
      <w:pPr>
        <w:numPr>
          <w:ilvl w:val="0"/>
          <w:numId w:val="3"/>
        </w:numPr>
        <w:pBdr>
          <w:top w:val="dashed" w:sz="6" w:space="11" w:color="D4CECD"/>
          <w:left w:val="dashed" w:sz="6" w:space="15" w:color="D4CECD"/>
          <w:bottom w:val="single" w:sz="6" w:space="5" w:color="D3CFCD"/>
          <w:right w:val="dashed" w:sz="6" w:space="15" w:color="D4CECD"/>
        </w:pBdr>
        <w:shd w:val="clear" w:color="auto" w:fill="F5F0EE"/>
        <w:spacing w:after="0" w:line="300" w:lineRule="atLeast"/>
        <w:ind w:left="450" w:right="150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>позволяют потребителю приобретать определенные товары и услуги;</w:t>
      </w:r>
    </w:p>
    <w:p w:rsidR="008906A5" w:rsidRPr="00342B07" w:rsidRDefault="008906A5" w:rsidP="008906A5">
      <w:pPr>
        <w:numPr>
          <w:ilvl w:val="0"/>
          <w:numId w:val="3"/>
        </w:numPr>
        <w:pBdr>
          <w:top w:val="dashed" w:sz="6" w:space="11" w:color="D4CECD"/>
          <w:left w:val="dashed" w:sz="6" w:space="15" w:color="D4CECD"/>
          <w:bottom w:val="single" w:sz="6" w:space="5" w:color="D3CFCD"/>
          <w:right w:val="dashed" w:sz="6" w:space="15" w:color="D4CECD"/>
        </w:pBdr>
        <w:shd w:val="clear" w:color="auto" w:fill="F5F0EE"/>
        <w:spacing w:after="0" w:line="300" w:lineRule="atLeast"/>
        <w:ind w:left="450" w:right="150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>знакомят потребителя с ценностными предложениями;</w:t>
      </w:r>
    </w:p>
    <w:p w:rsidR="008906A5" w:rsidRPr="00342B07" w:rsidRDefault="008906A5" w:rsidP="008906A5">
      <w:pPr>
        <w:numPr>
          <w:ilvl w:val="0"/>
          <w:numId w:val="3"/>
        </w:numPr>
        <w:pBdr>
          <w:top w:val="dashed" w:sz="6" w:space="11" w:color="D4CECD"/>
          <w:left w:val="dashed" w:sz="6" w:space="15" w:color="D4CECD"/>
          <w:bottom w:val="single" w:sz="6" w:space="5" w:color="D3CFCD"/>
          <w:right w:val="dashed" w:sz="6" w:space="15" w:color="D4CECD"/>
        </w:pBdr>
        <w:shd w:val="clear" w:color="auto" w:fill="F5F0EE"/>
        <w:spacing w:after="0" w:line="300" w:lineRule="atLeast"/>
        <w:ind w:left="450" w:right="150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 xml:space="preserve">обеспечивают </w:t>
      </w:r>
      <w:proofErr w:type="spellStart"/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>постпродажное</w:t>
      </w:r>
      <w:proofErr w:type="spellEnd"/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 xml:space="preserve"> обслуживание.</w:t>
      </w:r>
    </w:p>
    <w:p w:rsidR="008906A5" w:rsidRPr="00342B07" w:rsidRDefault="008906A5" w:rsidP="008906A5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42B07">
        <w:rPr>
          <w:rFonts w:ascii="Georgia" w:eastAsia="Times New Roman" w:hAnsi="Georgia" w:cs="Times New Roman"/>
          <w:b/>
          <w:bCs/>
          <w:color w:val="000000"/>
          <w:sz w:val="20"/>
        </w:rPr>
        <w:t>Взаимоотношения с клиентами. </w:t>
      </w:r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>Например, персональная поддержка, самообслуживание, автоматизированное обслуживание, сообщества, совместное создание.</w:t>
      </w:r>
    </w:p>
    <w:p w:rsidR="008906A5" w:rsidRPr="00342B07" w:rsidRDefault="008906A5" w:rsidP="008906A5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42B07">
        <w:rPr>
          <w:rFonts w:ascii="Georgia" w:eastAsia="Times New Roman" w:hAnsi="Georgia" w:cs="Times New Roman"/>
          <w:b/>
          <w:bCs/>
          <w:color w:val="000000"/>
          <w:sz w:val="20"/>
        </w:rPr>
        <w:t>Потоки поступления дохода. </w:t>
      </w:r>
      <w:proofErr w:type="gramStart"/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>Например, продажа активов (товаров), плата за использование, оплата подписки, аренда/лизин/рента, лицензии, брокерские проценты, реклама.</w:t>
      </w:r>
      <w:proofErr w:type="gramEnd"/>
    </w:p>
    <w:p w:rsidR="008906A5" w:rsidRPr="00342B07" w:rsidRDefault="008906A5" w:rsidP="008906A5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42B07">
        <w:rPr>
          <w:rFonts w:ascii="Georgia" w:eastAsia="Times New Roman" w:hAnsi="Georgia" w:cs="Times New Roman"/>
          <w:b/>
          <w:bCs/>
          <w:color w:val="000000"/>
          <w:sz w:val="20"/>
        </w:rPr>
        <w:t>Ключевыми могут быть следующие ресурсы: </w:t>
      </w:r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>материальные, интеллектуальные, людские, финансовые.</w:t>
      </w:r>
    </w:p>
    <w:p w:rsidR="008906A5" w:rsidRPr="00342B07" w:rsidRDefault="008906A5" w:rsidP="008906A5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42B07">
        <w:rPr>
          <w:rFonts w:ascii="Georgia" w:eastAsia="Times New Roman" w:hAnsi="Georgia" w:cs="Times New Roman"/>
          <w:b/>
          <w:bCs/>
          <w:color w:val="000000"/>
          <w:sz w:val="20"/>
        </w:rPr>
        <w:t>Ключевые виды деятельности. </w:t>
      </w:r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 xml:space="preserve">Например, </w:t>
      </w:r>
      <w:proofErr w:type="spellStart"/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>Microsoft</w:t>
      </w:r>
      <w:proofErr w:type="spellEnd"/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 xml:space="preserve"> – разработка ПО, </w:t>
      </w:r>
      <w:proofErr w:type="spellStart"/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>Dell</w:t>
      </w:r>
      <w:proofErr w:type="spellEnd"/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 xml:space="preserve"> – управление отношениями с поставщиками, </w:t>
      </w:r>
      <w:proofErr w:type="spellStart"/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>McKinsey</w:t>
      </w:r>
      <w:proofErr w:type="spellEnd"/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 xml:space="preserve"> – разрешение проблемных ситуаций. Ключевые виды деятельности можно классифицировать следующим образом: производство, решение проблем, платформы/сети.</w:t>
      </w:r>
    </w:p>
    <w:p w:rsidR="008906A5" w:rsidRPr="00342B07" w:rsidRDefault="008906A5" w:rsidP="008906A5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42B07">
        <w:rPr>
          <w:rFonts w:ascii="Georgia" w:eastAsia="Times New Roman" w:hAnsi="Georgia" w:cs="Times New Roman"/>
          <w:b/>
          <w:bCs/>
          <w:color w:val="000000"/>
          <w:sz w:val="20"/>
        </w:rPr>
        <w:t>Ключевые партнеры.</w:t>
      </w:r>
      <w:r w:rsidRPr="00342B07">
        <w:rPr>
          <w:rFonts w:ascii="Georgia" w:eastAsia="Times New Roman" w:hAnsi="Georgia" w:cs="Times New Roman"/>
          <w:color w:val="000000"/>
          <w:sz w:val="20"/>
        </w:rPr>
        <w:t> </w:t>
      </w:r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>Можно выделить четыре типа партнерских отношений:</w:t>
      </w:r>
    </w:p>
    <w:p w:rsidR="008906A5" w:rsidRPr="00342B07" w:rsidRDefault="008906A5" w:rsidP="008906A5">
      <w:pPr>
        <w:numPr>
          <w:ilvl w:val="0"/>
          <w:numId w:val="4"/>
        </w:numPr>
        <w:pBdr>
          <w:top w:val="dashed" w:sz="6" w:space="11" w:color="D4CECD"/>
          <w:left w:val="dashed" w:sz="6" w:space="30" w:color="D4CECD"/>
          <w:bottom w:val="single" w:sz="6" w:space="5" w:color="D3CFCD"/>
          <w:right w:val="dashed" w:sz="6" w:space="15" w:color="D4CECD"/>
        </w:pBdr>
        <w:shd w:val="clear" w:color="auto" w:fill="F5F0EE"/>
        <w:spacing w:after="0" w:line="300" w:lineRule="atLeast"/>
        <w:ind w:left="450" w:right="150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lastRenderedPageBreak/>
        <w:t xml:space="preserve">Стратегическое сотрудничество между </w:t>
      </w:r>
      <w:proofErr w:type="spellStart"/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>неконкурирующими</w:t>
      </w:r>
      <w:proofErr w:type="spellEnd"/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 xml:space="preserve"> компаниями.</w:t>
      </w:r>
    </w:p>
    <w:p w:rsidR="008906A5" w:rsidRPr="00342B07" w:rsidRDefault="008906A5" w:rsidP="008906A5">
      <w:pPr>
        <w:numPr>
          <w:ilvl w:val="0"/>
          <w:numId w:val="4"/>
        </w:numPr>
        <w:pBdr>
          <w:top w:val="dashed" w:sz="6" w:space="11" w:color="D4CECD"/>
          <w:left w:val="dashed" w:sz="6" w:space="30" w:color="D4CECD"/>
          <w:bottom w:val="single" w:sz="6" w:space="5" w:color="D3CFCD"/>
          <w:right w:val="dashed" w:sz="6" w:space="15" w:color="D4CECD"/>
        </w:pBdr>
        <w:shd w:val="clear" w:color="auto" w:fill="F5F0EE"/>
        <w:spacing w:after="0" w:line="300" w:lineRule="atLeast"/>
        <w:ind w:left="450" w:right="150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>Стратегическое партнерство между конкурентами.</w:t>
      </w:r>
    </w:p>
    <w:p w:rsidR="008906A5" w:rsidRPr="00342B07" w:rsidRDefault="008906A5" w:rsidP="008906A5">
      <w:pPr>
        <w:numPr>
          <w:ilvl w:val="0"/>
          <w:numId w:val="4"/>
        </w:numPr>
        <w:pBdr>
          <w:top w:val="dashed" w:sz="6" w:space="11" w:color="D4CECD"/>
          <w:left w:val="dashed" w:sz="6" w:space="30" w:color="D4CECD"/>
          <w:bottom w:val="single" w:sz="6" w:space="5" w:color="D3CFCD"/>
          <w:right w:val="dashed" w:sz="6" w:space="15" w:color="D4CECD"/>
        </w:pBdr>
        <w:shd w:val="clear" w:color="auto" w:fill="F5F0EE"/>
        <w:spacing w:after="0" w:line="300" w:lineRule="atLeast"/>
        <w:ind w:left="450" w:right="150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 xml:space="preserve">Совместные предприятия для запуска </w:t>
      </w:r>
      <w:proofErr w:type="gramStart"/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>новых</w:t>
      </w:r>
      <w:proofErr w:type="gramEnd"/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 xml:space="preserve"> </w:t>
      </w:r>
      <w:proofErr w:type="spellStart"/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>бизнес-проектов</w:t>
      </w:r>
      <w:proofErr w:type="spellEnd"/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>.</w:t>
      </w:r>
    </w:p>
    <w:p w:rsidR="008906A5" w:rsidRPr="00342B07" w:rsidRDefault="008906A5" w:rsidP="008906A5">
      <w:pPr>
        <w:numPr>
          <w:ilvl w:val="0"/>
          <w:numId w:val="4"/>
        </w:numPr>
        <w:pBdr>
          <w:top w:val="dashed" w:sz="6" w:space="11" w:color="D4CECD"/>
          <w:left w:val="dashed" w:sz="6" w:space="30" w:color="D4CECD"/>
          <w:bottom w:val="single" w:sz="6" w:space="5" w:color="D3CFCD"/>
          <w:right w:val="dashed" w:sz="6" w:space="15" w:color="D4CECD"/>
        </w:pBdr>
        <w:shd w:val="clear" w:color="auto" w:fill="F5F0EE"/>
        <w:spacing w:after="0" w:line="300" w:lineRule="atLeast"/>
        <w:ind w:left="450" w:right="150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 xml:space="preserve">Отношения производителя с поставщиками для гарантии получения </w:t>
      </w:r>
      <w:proofErr w:type="gramStart"/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>качественных</w:t>
      </w:r>
      <w:proofErr w:type="gramEnd"/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 xml:space="preserve"> комплектующих.</w:t>
      </w:r>
    </w:p>
    <w:p w:rsidR="008906A5" w:rsidRPr="00342B07" w:rsidRDefault="008906A5" w:rsidP="008906A5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>Можно выделить три основных мотива создания партнерских отношений: оптимизация и экономия в сфере производства, снижение риска и неопределенности, поставка ресурсов и совместная деятельность.</w:t>
      </w:r>
    </w:p>
    <w:p w:rsidR="008906A5" w:rsidRPr="00342B07" w:rsidRDefault="008906A5" w:rsidP="008906A5">
      <w:pPr>
        <w:shd w:val="clear" w:color="auto" w:fill="FFFFFF"/>
        <w:spacing w:after="0" w:line="300" w:lineRule="atLeast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342B07">
        <w:rPr>
          <w:rFonts w:ascii="Georgia" w:eastAsia="Times New Roman" w:hAnsi="Georgia" w:cs="Times New Roman"/>
          <w:b/>
          <w:bCs/>
          <w:color w:val="000000"/>
          <w:sz w:val="20"/>
        </w:rPr>
        <w:t>Структура издержек.</w:t>
      </w:r>
      <w:r w:rsidRPr="00342B07">
        <w:rPr>
          <w:rFonts w:ascii="Georgia" w:eastAsia="Times New Roman" w:hAnsi="Georgia" w:cs="Times New Roman"/>
          <w:color w:val="000000"/>
          <w:sz w:val="20"/>
        </w:rPr>
        <w:t> </w:t>
      </w:r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 xml:space="preserve">По этому признаку </w:t>
      </w:r>
      <w:proofErr w:type="spellStart"/>
      <w:proofErr w:type="gramStart"/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>бизнес-модели</w:t>
      </w:r>
      <w:proofErr w:type="spellEnd"/>
      <w:proofErr w:type="gramEnd"/>
      <w:r w:rsidRPr="00342B07">
        <w:rPr>
          <w:rFonts w:ascii="Georgia" w:eastAsia="Times New Roman" w:hAnsi="Georgia" w:cs="Times New Roman"/>
          <w:color w:val="000000"/>
          <w:sz w:val="20"/>
          <w:szCs w:val="20"/>
        </w:rPr>
        <w:t xml:space="preserve"> можно разделить на два класса: с преимущественным вниманием к издержкам и с преимущественным вниманием к ценности. По структуре издержки можно разделить на следующие категории: фиксированные издержки, переменные издержки, экономия на масштабе, эффект диверсификации.</w:t>
      </w:r>
    </w:p>
    <w:p w:rsidR="008906A5" w:rsidRPr="00342B07" w:rsidRDefault="008906A5" w:rsidP="008906A5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Georgia" w:hAnsi="Georgia"/>
          <w:b/>
          <w:color w:val="000000"/>
          <w:sz w:val="20"/>
          <w:szCs w:val="20"/>
        </w:rPr>
      </w:pPr>
      <w:r w:rsidRPr="00342B07">
        <w:rPr>
          <w:rFonts w:ascii="Georgia" w:hAnsi="Georgia"/>
          <w:b/>
          <w:color w:val="000000"/>
          <w:sz w:val="20"/>
          <w:szCs w:val="20"/>
        </w:rPr>
        <w:t>Подобно работе головного мозга, где левое полушарие отвечает за логику, а правое – за эмоции, левая часть шаблона отвечает за деятельность, а правая – за ценность (рис. 3).</w:t>
      </w:r>
    </w:p>
    <w:p w:rsidR="008906A5" w:rsidRDefault="008906A5" w:rsidP="008906A5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b/>
          <w:bCs/>
          <w:noProof/>
          <w:color w:val="9D080D"/>
          <w:sz w:val="20"/>
          <w:szCs w:val="20"/>
        </w:rPr>
        <w:drawing>
          <wp:inline distT="0" distB="0" distL="0" distR="0">
            <wp:extent cx="5750719" cy="2486025"/>
            <wp:effectExtent l="19050" t="0" r="2381" b="0"/>
            <wp:docPr id="17" name="Рисунок 9" descr="http://baguzin.ru/wp/wp-content/uploads/2011/11/03.-%D0%94%D0%B2%D0%B5-%D1%87%D0%B0%D1%81%D1%82%D0%B8-%D1%88%D0%B0%D0%B1%D0%BB%D0%BE%D0%BD%D0%B0.bmp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aguzin.ru/wp/wp-content/uploads/2011/11/03.-%D0%94%D0%B2%D0%B5-%D1%87%D0%B0%D1%81%D1%82%D0%B8-%D1%88%D0%B0%D0%B1%D0%BB%D0%BE%D0%BD%D0%B0.bmp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719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411" w:rsidRDefault="008906A5" w:rsidP="008906A5">
      <w:r>
        <w:rPr>
          <w:noProof/>
        </w:rPr>
        <w:pict>
          <v:group id="_x0000_s1026" style="position:absolute;margin-left:-47.55pt;margin-top:36.8pt;width:465.75pt;height:154.5pt;z-index:251660288" coordorigin="480,10680" coordsize="9315,309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4005;top:11520;width:0;height:900" o:connectortype="straight"/>
            <v:shape id="_x0000_s1028" type="#_x0000_t32" style="position:absolute;left:4005;top:11520;width:3375;height:0" o:connectortype="straight"/>
            <v:group id="_x0000_s1029" style="position:absolute;left:480;top:10680;width:9315;height:3090" coordorigin="555,10680" coordsize="9315,3090">
              <v:shape id="_x0000_s1030" type="#_x0000_t32" style="position:absolute;left:1440;top:10680;width:2565;height:840" o:connectortype="straight"/>
              <v:shape id="_x0000_s1031" type="#_x0000_t32" style="position:absolute;left:1440;top:12420;width:2565;height:915;flip:y" o:connectortype="straight"/>
              <v:shape id="_x0000_s1032" type="#_x0000_t32" style="position:absolute;left:4005;top:12315;width:3375;height:105;flip:y" o:connectortype="straight"/>
              <v:shape id="_x0000_s1033" type="#_x0000_t32" style="position:absolute;left:7380;top:11520;width:0;height:795" o:connectortype="straight"/>
              <v:shape id="_x0000_s1034" type="#_x0000_t32" style="position:absolute;left:7380;top:10680;width:1830;height:840;flip:y" o:connectortype="straight"/>
              <v:shape id="_x0000_s1035" type="#_x0000_t32" style="position:absolute;left:7380;top:12315;width:2490;height:795" o:connectortype="straight"/>
              <v:shape id="_x0000_s1036" type="#_x0000_t32" style="position:absolute;left:3045;top:11190;width:30;height:1560" o:connectortype="straight"/>
              <v:shape id="_x0000_s1037" type="#_x0000_t32" style="position:absolute;left:1995;top:10845;width:15;height:2265" o:connectortype="straight"/>
              <v:shape id="_x0000_s1038" type="#_x0000_t32" style="position:absolute;left:555;top:11310;width:1455;height:90" o:connectortype="straight">
                <v:stroke endarrow="block"/>
              </v:shape>
              <v:shape id="_x0000_s1039" type="#_x0000_t32" style="position:absolute;left:555;top:12000;width:1455;height:15" o:connectortype="straight">
                <v:stroke endarrow="block"/>
              </v:shape>
              <v:shape id="_x0000_s1040" type="#_x0000_t32" style="position:absolute;left:555;top:12825;width:1455;height:15" o:connectortype="straight">
                <v:stroke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555;top:11520;width:1215;height:360">
                <v:textbox>
                  <w:txbxContent>
                    <w:p w:rsidR="008906A5" w:rsidRPr="00ED6321" w:rsidRDefault="008906A5" w:rsidP="008906A5">
                      <w:proofErr w:type="spellStart"/>
                      <w:r>
                        <w:t>лиды</w:t>
                      </w:r>
                      <w:proofErr w:type="spellEnd"/>
                    </w:p>
                  </w:txbxContent>
                </v:textbox>
              </v:shape>
              <v:shape id="_x0000_s1042" type="#_x0000_t202" style="position:absolute;left:4185;top:11610;width:720;height:600">
                <v:textbox>
                  <w:txbxContent>
                    <w:p w:rsidR="008906A5" w:rsidRPr="00ED6321" w:rsidRDefault="008906A5" w:rsidP="008906A5">
                      <w:pPr>
                        <w:rPr>
                          <w:b/>
                          <w:color w:val="C0504D" w:themeColor="accent2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 w:rsidRPr="00ED6321">
                        <w:rPr>
                          <w:b/>
                          <w:color w:val="C0504D" w:themeColor="accent2"/>
                          <w:sz w:val="32"/>
                          <w:szCs w:val="32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  <v:shape id="_x0000_s1043" type="#_x0000_t202" style="position:absolute;left:2085;top:11610;width:720;height:600">
                <v:textbox>
                  <w:txbxContent>
                    <w:p w:rsidR="008906A5" w:rsidRPr="00ED6321" w:rsidRDefault="008906A5" w:rsidP="008906A5">
                      <w:pPr>
                        <w:rPr>
                          <w:b/>
                          <w:color w:val="C0504D" w:themeColor="accent2"/>
                          <w:sz w:val="32"/>
                          <w:szCs w:val="32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color w:val="C0504D" w:themeColor="accent2"/>
                          <w:sz w:val="32"/>
                          <w:szCs w:val="32"/>
                          <w:lang w:val="en-US"/>
                        </w:rPr>
                        <w:t>b</w:t>
                      </w:r>
                      <w:proofErr w:type="gramEnd"/>
                    </w:p>
                  </w:txbxContent>
                </v:textbox>
              </v:shape>
              <v:shape id="_x0000_s1044" type="#_x0000_t202" style="position:absolute;left:2415;top:13035;width:1230;height:735">
                <v:textbox>
                  <w:txbxContent>
                    <w:p w:rsidR="008906A5" w:rsidRPr="00ED6321" w:rsidRDefault="008906A5" w:rsidP="008906A5">
                      <w:pPr>
                        <w:rPr>
                          <w:b/>
                          <w:color w:val="C0504D" w:themeColor="accent2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C0504D" w:themeColor="accent2"/>
                          <w:sz w:val="32"/>
                          <w:szCs w:val="32"/>
                          <w:lang w:val="en-US"/>
                        </w:rPr>
                        <w:t>GET</w:t>
                      </w:r>
                    </w:p>
                  </w:txbxContent>
                </v:textbox>
              </v:shape>
              <v:shape id="_x0000_s1045" type="#_x0000_t202" style="position:absolute;left:4830;top:12600;width:1230;height:735">
                <v:textbox>
                  <w:txbxContent>
                    <w:p w:rsidR="008906A5" w:rsidRPr="00ED6321" w:rsidRDefault="008906A5" w:rsidP="008906A5">
                      <w:pPr>
                        <w:rPr>
                          <w:b/>
                          <w:color w:val="C0504D" w:themeColor="accent2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C0504D" w:themeColor="accent2"/>
                          <w:sz w:val="32"/>
                          <w:szCs w:val="32"/>
                          <w:lang w:val="en-US"/>
                        </w:rPr>
                        <w:t>KEEP</w:t>
                      </w:r>
                    </w:p>
                  </w:txbxContent>
                </v:textbox>
              </v:shape>
              <v:shape id="_x0000_s1046" type="#_x0000_t202" style="position:absolute;left:7980;top:13035;width:1230;height:735">
                <v:textbox>
                  <w:txbxContent>
                    <w:p w:rsidR="008906A5" w:rsidRPr="00ED6321" w:rsidRDefault="008906A5" w:rsidP="008906A5">
                      <w:pPr>
                        <w:rPr>
                          <w:b/>
                          <w:color w:val="C0504D" w:themeColor="accent2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C0504D" w:themeColor="accent2"/>
                          <w:sz w:val="32"/>
                          <w:szCs w:val="32"/>
                          <w:lang w:val="en-US"/>
                        </w:rPr>
                        <w:t>GROW</w:t>
                      </w:r>
                    </w:p>
                  </w:txbxContent>
                </v:textbox>
              </v:shape>
            </v:group>
          </v:group>
        </w:pict>
      </w:r>
      <w:r>
        <w:t>ТРУБА ПРОДАЖ</w:t>
      </w:r>
    </w:p>
    <w:sectPr w:rsidR="00EF5411" w:rsidSect="00EF5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A5A28"/>
    <w:multiLevelType w:val="multilevel"/>
    <w:tmpl w:val="D3727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9A4847"/>
    <w:multiLevelType w:val="multilevel"/>
    <w:tmpl w:val="A59AA3E0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37126520"/>
    <w:multiLevelType w:val="hybridMultilevel"/>
    <w:tmpl w:val="BCBAD4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2BC6740"/>
    <w:multiLevelType w:val="multilevel"/>
    <w:tmpl w:val="AE14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906A5"/>
    <w:rsid w:val="0075163F"/>
    <w:rsid w:val="008906A5"/>
    <w:rsid w:val="00EF5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40"/>
        <o:r id="V:Rule2" type="connector" idref="#_x0000_s1031"/>
        <o:r id="V:Rule3" type="connector" idref="#_x0000_s1035"/>
        <o:r id="V:Rule4" type="connector" idref="#_x0000_s1036"/>
        <o:r id="V:Rule5" type="connector" idref="#_x0000_s1030"/>
        <o:r id="V:Rule6" type="connector" idref="#_x0000_s1038"/>
        <o:r id="V:Rule7" type="connector" idref="#_x0000_s1033"/>
        <o:r id="V:Rule8" type="connector" idref="#_x0000_s1039"/>
        <o:r id="V:Rule9" type="connector" idref="#_x0000_s1037"/>
        <o:r id="V:Rule10" type="connector" idref="#_x0000_s1027"/>
        <o:r id="V:Rule11" type="connector" idref="#_x0000_s1028"/>
        <o:r id="V:Rule12" type="connector" idref="#_x0000_s1034"/>
        <o:r id="V:Rule13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6A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8906A5"/>
    <w:pPr>
      <w:keepNext/>
      <w:keepLines/>
      <w:numPr>
        <w:numId w:val="1"/>
      </w:numPr>
      <w:suppressAutoHyphens/>
      <w:spacing w:before="840" w:after="240" w:line="240" w:lineRule="auto"/>
      <w:outlineLvl w:val="0"/>
    </w:pPr>
    <w:rPr>
      <w:rFonts w:ascii="Arial" w:eastAsia="Times New Roman" w:hAnsi="Arial" w:cs="Arial"/>
      <w:b/>
      <w:bCs/>
      <w:spacing w:val="20"/>
      <w:kern w:val="28"/>
      <w:sz w:val="32"/>
      <w:szCs w:val="32"/>
    </w:rPr>
  </w:style>
  <w:style w:type="paragraph" w:styleId="2">
    <w:name w:val="heading 2"/>
    <w:basedOn w:val="a"/>
    <w:next w:val="a"/>
    <w:link w:val="20"/>
    <w:qFormat/>
    <w:rsid w:val="008906A5"/>
    <w:pPr>
      <w:keepNext/>
      <w:keepLines/>
      <w:numPr>
        <w:ilvl w:val="1"/>
        <w:numId w:val="1"/>
      </w:numPr>
      <w:suppressAutoHyphens/>
      <w:spacing w:before="600" w:after="180" w:line="240" w:lineRule="auto"/>
      <w:outlineLvl w:val="1"/>
    </w:pPr>
    <w:rPr>
      <w:rFonts w:ascii="Arial" w:eastAsia="Times New Roman" w:hAnsi="Arial" w:cs="Arial"/>
      <w:b/>
      <w:bCs/>
      <w:iCs/>
      <w:kern w:val="28"/>
      <w:sz w:val="28"/>
      <w:szCs w:val="28"/>
    </w:rPr>
  </w:style>
  <w:style w:type="paragraph" w:styleId="3">
    <w:name w:val="heading 3"/>
    <w:basedOn w:val="a"/>
    <w:next w:val="a"/>
    <w:link w:val="30"/>
    <w:qFormat/>
    <w:rsid w:val="008906A5"/>
    <w:pPr>
      <w:keepNext/>
      <w:keepLines/>
      <w:numPr>
        <w:ilvl w:val="2"/>
        <w:numId w:val="1"/>
      </w:numPr>
      <w:tabs>
        <w:tab w:val="clear" w:pos="720"/>
        <w:tab w:val="left" w:pos="822"/>
      </w:tabs>
      <w:suppressAutoHyphens/>
      <w:spacing w:before="360" w:after="120" w:line="240" w:lineRule="auto"/>
      <w:ind w:left="822" w:hanging="822"/>
      <w:outlineLvl w:val="2"/>
    </w:pPr>
    <w:rPr>
      <w:rFonts w:ascii="Arial" w:eastAsia="Times New Roman" w:hAnsi="Arial" w:cs="Arial"/>
      <w:b/>
      <w:bCs/>
      <w:kern w:val="24"/>
      <w:sz w:val="24"/>
      <w:szCs w:val="24"/>
    </w:rPr>
  </w:style>
  <w:style w:type="paragraph" w:styleId="4">
    <w:name w:val="heading 4"/>
    <w:basedOn w:val="a"/>
    <w:next w:val="a"/>
    <w:link w:val="40"/>
    <w:qFormat/>
    <w:rsid w:val="008906A5"/>
    <w:pPr>
      <w:keepNext/>
      <w:keepLines/>
      <w:numPr>
        <w:ilvl w:val="3"/>
        <w:numId w:val="1"/>
      </w:numPr>
      <w:suppressAutoHyphens/>
      <w:spacing w:before="240" w:after="60" w:line="240" w:lineRule="auto"/>
      <w:outlineLvl w:val="3"/>
    </w:pPr>
    <w:rPr>
      <w:rFonts w:ascii="Arial" w:eastAsia="Times New Roman" w:hAnsi="Arial" w:cs="Arial"/>
      <w:b/>
      <w:bCs/>
      <w:i/>
    </w:rPr>
  </w:style>
  <w:style w:type="paragraph" w:styleId="5">
    <w:name w:val="heading 5"/>
    <w:basedOn w:val="a"/>
    <w:next w:val="a"/>
    <w:link w:val="50"/>
    <w:qFormat/>
    <w:rsid w:val="008906A5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8906A5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7">
    <w:name w:val="heading 7"/>
    <w:basedOn w:val="a"/>
    <w:next w:val="a"/>
    <w:link w:val="70"/>
    <w:qFormat/>
    <w:rsid w:val="008906A5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8906A5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8906A5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906A5"/>
    <w:rPr>
      <w:rFonts w:ascii="Arial" w:eastAsia="Times New Roman" w:hAnsi="Arial" w:cs="Arial"/>
      <w:b/>
      <w:bCs/>
      <w:spacing w:val="20"/>
      <w:kern w:val="28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906A5"/>
    <w:rPr>
      <w:rFonts w:ascii="Arial" w:eastAsia="Times New Roman" w:hAnsi="Arial" w:cs="Arial"/>
      <w:b/>
      <w:bCs/>
      <w:iCs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906A5"/>
    <w:rPr>
      <w:rFonts w:ascii="Arial" w:eastAsia="Times New Roman" w:hAnsi="Arial" w:cs="Arial"/>
      <w:b/>
      <w:bCs/>
      <w:kern w:val="24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906A5"/>
    <w:rPr>
      <w:rFonts w:ascii="Arial" w:eastAsia="Times New Roman" w:hAnsi="Arial" w:cs="Arial"/>
      <w:b/>
      <w:bCs/>
      <w:i/>
      <w:lang w:eastAsia="ru-RU"/>
    </w:rPr>
  </w:style>
  <w:style w:type="character" w:customStyle="1" w:styleId="50">
    <w:name w:val="Заголовок 5 Знак"/>
    <w:basedOn w:val="a0"/>
    <w:link w:val="5"/>
    <w:rsid w:val="008906A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8906A5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8906A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8906A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8906A5"/>
    <w:rPr>
      <w:rFonts w:ascii="Arial" w:eastAsia="Times New Roman" w:hAnsi="Arial" w:cs="Arial"/>
      <w:lang w:eastAsia="ru-RU"/>
    </w:rPr>
  </w:style>
  <w:style w:type="paragraph" w:styleId="a3">
    <w:name w:val="List Paragraph"/>
    <w:basedOn w:val="a"/>
    <w:uiPriority w:val="34"/>
    <w:qFormat/>
    <w:rsid w:val="008906A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90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890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06A5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guzin.ru/wp/wp-content/uploads/2011/11/03.-%D0%94%D0%B2%D0%B5-%D1%87%D0%B0%D1%81%D1%82%D0%B8-%D1%88%D0%B0%D0%B1%D0%BB%D0%BE%D0%BD%D0%B0.bm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609</Words>
  <Characters>3476</Characters>
  <Application>Microsoft Office Word</Application>
  <DocSecurity>0</DocSecurity>
  <Lines>28</Lines>
  <Paragraphs>8</Paragraphs>
  <ScaleCrop>false</ScaleCrop>
  <Company>Reanimator Extreme Edition</Company>
  <LinksUpToDate>false</LinksUpToDate>
  <CharactersWithSpaces>4077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</cp:revision>
  <dcterms:created xsi:type="dcterms:W3CDTF">2016-01-15T21:56:00Z</dcterms:created>
  <dcterms:modified xsi:type="dcterms:W3CDTF">2016-01-15T21:57:00Z</dcterms:modified>
</cp:coreProperties>
</file>