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75A6" w14:textId="5D296B63" w:rsidR="00C17ADA" w:rsidRDefault="00C17ADA" w:rsidP="00C17ADA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Toggle Count</w:t>
      </w:r>
    </w:p>
    <w:p w14:paraId="4672408A" w14:textId="1F2C4CCB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>
        <w:rPr>
          <w:rFonts w:ascii="Calibri" w:hAnsi="Calibri" w:cs="Calibri"/>
          <w:b/>
          <w:bCs/>
          <w:color w:val="808080" w:themeColor="background1" w:themeShade="80"/>
        </w:rPr>
        <w:t>toggle count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the vehicle's ECU.</w:t>
      </w:r>
    </w:p>
    <w:p w14:paraId="2822C2CE" w14:textId="77777777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5898160D" w14:textId="77777777" w:rsidR="00C17ADA" w:rsidRDefault="00C17ADA" w:rsidP="00C17AD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5D92D9EC" w14:textId="77777777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Arduino Board: </w:t>
      </w:r>
      <w:r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5BF0D78" w14:textId="77777777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MCP2515 CAN Module: </w:t>
      </w:r>
      <w:r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6D74B385" w14:textId="77777777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C00000"/>
        </w:rPr>
        <w:t xml:space="preserve">OBD-II Connector: </w:t>
      </w:r>
      <w:r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3117E9FB" w14:textId="77777777" w:rsidR="00C17ADA" w:rsidRDefault="00C17ADA" w:rsidP="00C17ADA">
      <w:pPr>
        <w:rPr>
          <w:rFonts w:ascii="Calibri" w:hAnsi="Calibri" w:cs="Calibri"/>
          <w:b/>
          <w:bCs/>
          <w:color w:val="C00000"/>
        </w:rPr>
      </w:pPr>
      <w:r>
        <w:rPr>
          <w:rFonts w:ascii="Calibri" w:hAnsi="Calibri" w:cs="Calibri"/>
          <w:b/>
          <w:bCs/>
          <w:color w:val="C00000"/>
        </w:rPr>
        <w:t>Wiring:</w:t>
      </w:r>
    </w:p>
    <w:p w14:paraId="7D7814FA" w14:textId="77777777" w:rsidR="00C17ADA" w:rsidRDefault="00C17ADA" w:rsidP="00C17AD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7 Male to Female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02C9B003" w14:textId="77777777" w:rsidR="00C17ADA" w:rsidRDefault="00C17ADA" w:rsidP="00C17ADA">
      <w:pPr>
        <w:numPr>
          <w:ilvl w:val="0"/>
          <w:numId w:val="1"/>
        </w:numPr>
        <w:contextualSpacing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0070C0"/>
        </w:rPr>
        <w:t xml:space="preserve">2 Male to Male Jumper Wires: </w:t>
      </w:r>
      <w:r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0E7219DE" w14:textId="77777777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A5704A9" w14:textId="77777777" w:rsidR="00C17ADA" w:rsidRDefault="00C17ADA" w:rsidP="00C17AD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075A9BEB" w14:textId="77777777" w:rsidR="00C17ADA" w:rsidRDefault="00C17ADA" w:rsidP="00C17AD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13330361" wp14:editId="2715597C">
            <wp:extent cx="4814570" cy="325755"/>
            <wp:effectExtent l="0" t="0" r="508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35A7" w14:textId="77777777" w:rsidR="00C17ADA" w:rsidRDefault="00C17ADA" w:rsidP="00C17ADA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noProof/>
          <w:color w:val="808080" w:themeColor="background1" w:themeShade="80"/>
        </w:rPr>
        <w:drawing>
          <wp:inline distT="0" distB="0" distL="0" distR="0" wp14:anchorId="7916BB31" wp14:editId="78183C23">
            <wp:extent cx="5728970" cy="2791460"/>
            <wp:effectExtent l="0" t="0" r="5080" b="889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12BE" w14:textId="5802EB5D" w:rsidR="00C17ADA" w:rsidRDefault="00C17ADA" w:rsidP="00C17ADA">
      <w:pPr>
        <w:rPr>
          <w:rFonts w:ascii="Calibri" w:hAnsi="Calibri" w:cs="Calibri"/>
          <w:b/>
          <w:bCs/>
          <w:color w:val="808080" w:themeColor="background1" w:themeShade="80"/>
        </w:rPr>
      </w:pPr>
      <w:r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toggle count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 data from a vehicle's ECU through the OBD-II interface using the CAN bus protocol. It demonstrates basic CAN communication and data parsing, making it a valuable tool for automotive diagnostics.</w:t>
      </w:r>
    </w:p>
    <w:p w14:paraId="2B1EC909" w14:textId="77777777" w:rsidR="00D56764" w:rsidRDefault="00D56764"/>
    <w:sectPr w:rsidR="00D5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2326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F"/>
    <w:rsid w:val="001216CF"/>
    <w:rsid w:val="002B312B"/>
    <w:rsid w:val="00507558"/>
    <w:rsid w:val="007075CF"/>
    <w:rsid w:val="00C17ADA"/>
    <w:rsid w:val="00D5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3B1A"/>
  <w15:chartTrackingRefBased/>
  <w15:docId w15:val="{7044FCA1-9FA3-43F2-A275-909A5A62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ADA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6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6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6C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6C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6C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6CF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6CF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6CF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6CF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6CF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6CF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6CF"/>
    <w:pPr>
      <w:spacing w:line="278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121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2024-10-01T05:45:00Z</dcterms:created>
  <dcterms:modified xsi:type="dcterms:W3CDTF">2024-10-01T05:47:00Z</dcterms:modified>
</cp:coreProperties>
</file>