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A45DC" w14:textId="71BD18FC" w:rsidR="00720545" w:rsidRDefault="00F716E6" w:rsidP="00A20696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Story</w:t>
      </w:r>
    </w:p>
    <w:p w14:paraId="66070560" w14:textId="77777777" w:rsidR="00720545" w:rsidRDefault="007205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0545" w14:paraId="223028FB" w14:textId="77777777">
        <w:trPr>
          <w:jc w:val="center"/>
        </w:trPr>
        <w:tc>
          <w:tcPr>
            <w:tcW w:w="4508" w:type="dxa"/>
          </w:tcPr>
          <w:p w14:paraId="366628D7" w14:textId="77777777" w:rsidR="00720545" w:rsidRDefault="002529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398857" w14:textId="03E1C2F6" w:rsidR="00720545" w:rsidRDefault="002529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March 2025</w:t>
            </w:r>
          </w:p>
        </w:tc>
      </w:tr>
      <w:tr w:rsidR="00252915" w14:paraId="55E5A78E" w14:textId="77777777">
        <w:trPr>
          <w:jc w:val="center"/>
        </w:trPr>
        <w:tc>
          <w:tcPr>
            <w:tcW w:w="4508" w:type="dxa"/>
          </w:tcPr>
          <w:p w14:paraId="2CA0E194" w14:textId="77777777" w:rsidR="00252915" w:rsidRDefault="002529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AADAD" w14:textId="01B2AFE7" w:rsidR="00252915" w:rsidRDefault="00252915">
            <w:pPr>
              <w:rPr>
                <w:rFonts w:ascii="Arial" w:eastAsia="Arial" w:hAnsi="Arial" w:cs="Arial"/>
              </w:rPr>
            </w:pPr>
            <w:r>
              <w:t>LTVIP2025TMID26725</w:t>
            </w:r>
          </w:p>
        </w:tc>
      </w:tr>
      <w:tr w:rsidR="00252915" w14:paraId="20C7BF55" w14:textId="77777777">
        <w:trPr>
          <w:jc w:val="center"/>
        </w:trPr>
        <w:tc>
          <w:tcPr>
            <w:tcW w:w="4508" w:type="dxa"/>
          </w:tcPr>
          <w:p w14:paraId="6659C707" w14:textId="77777777" w:rsidR="00252915" w:rsidRDefault="002529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D354C95" w14:textId="532FA419" w:rsidR="00252915" w:rsidRPr="00252915" w:rsidRDefault="0025291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52915">
              <w:rPr>
                <w:sz w:val="24"/>
                <w:szCs w:val="24"/>
              </w:rPr>
              <w:t>Visualization Tool for Electric Vehicle Charge and Range Analysis</w:t>
            </w:r>
          </w:p>
        </w:tc>
      </w:tr>
      <w:tr w:rsidR="00252915" w14:paraId="52F170A6" w14:textId="77777777">
        <w:trPr>
          <w:jc w:val="center"/>
        </w:trPr>
        <w:tc>
          <w:tcPr>
            <w:tcW w:w="4508" w:type="dxa"/>
          </w:tcPr>
          <w:p w14:paraId="2A03D322" w14:textId="77777777" w:rsidR="00252915" w:rsidRDefault="002529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C77C1E" w14:textId="70451DDC" w:rsidR="00252915" w:rsidRDefault="002529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37B83EC" w14:textId="77777777" w:rsidR="00720545" w:rsidRDefault="00720545">
      <w:pP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bookmarkStart w:id="0" w:name="_GoBack"/>
      <w:bookmarkEnd w:id="0"/>
    </w:p>
    <w:p w14:paraId="0220E3C7" w14:textId="6CB53134" w:rsidR="00F716E6" w:rsidRPr="005950D8" w:rsidRDefault="00F716E6" w:rsidP="00A2069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4"/>
        <w:jc w:val="both"/>
        <w:rPr>
          <w:rFonts w:asciiTheme="minorHAnsi" w:eastAsia="Times New Roman" w:hAnsiTheme="minorHAnsi" w:cstheme="minorHAnsi"/>
          <w:sz w:val="24"/>
        </w:rPr>
      </w:pPr>
      <w:r w:rsidRPr="005950D8">
        <w:rPr>
          <w:rFonts w:asciiTheme="minorHAnsi" w:eastAsia="Times New Roman" w:hAnsiTheme="minorHAnsi" w:cstheme="minorHAnsi"/>
          <w:sz w:val="24"/>
        </w:rPr>
        <w:t>By using stories in Tableau, you can effectively communicate complex data in a way that is both interactive and engaging, making it easier for the audience to follow along and understand the insights.</w:t>
      </w:r>
      <w:r w:rsidR="00722983" w:rsidRPr="005950D8">
        <w:rPr>
          <w:sz w:val="24"/>
        </w:rPr>
        <w:t xml:space="preserve"> </w:t>
      </w:r>
      <w:r w:rsidR="00722983" w:rsidRPr="005950D8">
        <w:rPr>
          <w:rFonts w:asciiTheme="minorHAnsi" w:eastAsia="Times New Roman" w:hAnsiTheme="minorHAnsi" w:cstheme="minorHAnsi"/>
          <w:sz w:val="24"/>
        </w:rPr>
        <w:t xml:space="preserve">It’s a tool for </w:t>
      </w:r>
      <w:r w:rsidR="00722983" w:rsidRPr="005950D8">
        <w:rPr>
          <w:rFonts w:asciiTheme="minorHAnsi" w:eastAsia="Times New Roman" w:hAnsiTheme="minorHAnsi" w:cstheme="minorHAnsi"/>
          <w:bCs/>
          <w:sz w:val="24"/>
        </w:rPr>
        <w:t>data storytelling</w:t>
      </w:r>
      <w:r w:rsidR="00722983" w:rsidRPr="005950D8">
        <w:rPr>
          <w:rFonts w:asciiTheme="minorHAnsi" w:eastAsia="Times New Roman" w:hAnsiTheme="minorHAnsi" w:cstheme="minorHAnsi"/>
          <w:sz w:val="24"/>
        </w:rPr>
        <w:t>, allowing you to present insights in a cohesive, engaging way that takes viewers through a logical progression of findings or analyses.</w:t>
      </w:r>
    </w:p>
    <w:p w14:paraId="4B3926FC" w14:textId="77777777" w:rsidR="005950D8" w:rsidRPr="005950D8" w:rsidRDefault="00F716E6" w:rsidP="0072298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4"/>
        <w:jc w:val="both"/>
        <w:rPr>
          <w:sz w:val="24"/>
          <w:szCs w:val="20"/>
        </w:rPr>
      </w:pPr>
      <w:r w:rsidRPr="005950D8">
        <w:rPr>
          <w:rFonts w:asciiTheme="minorHAnsi" w:eastAsia="Cambria" w:hAnsiTheme="minorHAnsi" w:cstheme="minorHAnsi"/>
          <w:sz w:val="24"/>
        </w:rPr>
        <w:t xml:space="preserve">In Tableau, </w:t>
      </w:r>
      <w:r w:rsidRPr="005950D8">
        <w:rPr>
          <w:rFonts w:asciiTheme="minorHAnsi" w:eastAsia="Cambria" w:hAnsiTheme="minorHAnsi" w:cstheme="minorHAnsi"/>
          <w:bCs/>
          <w:sz w:val="24"/>
        </w:rPr>
        <w:t>Story</w:t>
      </w:r>
      <w:r w:rsidRPr="005950D8">
        <w:rPr>
          <w:rFonts w:asciiTheme="minorHAnsi" w:eastAsia="Cambria" w:hAnsiTheme="minorHAnsi" w:cstheme="minorHAnsi"/>
          <w:sz w:val="24"/>
        </w:rPr>
        <w:t xml:space="preserve"> is a feature that allows you to create a sequence of dashboards, visualizations, and text to present data insights in a cohesive and narrative-driven way. It's like a slideshow within Tableau that guides the audience through a series of data points, helping them understand key insights, trends, or outcomes of your analysis.</w:t>
      </w:r>
      <w:r w:rsidRPr="005950D8">
        <w:rPr>
          <w:sz w:val="24"/>
          <w:szCs w:val="20"/>
        </w:rPr>
        <w:t xml:space="preserve">   </w:t>
      </w:r>
    </w:p>
    <w:p w14:paraId="5F38FBE8" w14:textId="3E0C3394" w:rsidR="005950D8" w:rsidRPr="005950D8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4"/>
        <w:jc w:val="both"/>
        <w:rPr>
          <w:sz w:val="28"/>
          <w:szCs w:val="20"/>
        </w:rPr>
      </w:pPr>
      <w:r w:rsidRPr="005950D8">
        <w:rPr>
          <w:b/>
          <w:sz w:val="28"/>
          <w:szCs w:val="20"/>
        </w:rPr>
        <w:t>Overview of the Story</w:t>
      </w:r>
      <w:r w:rsidRPr="005950D8">
        <w:rPr>
          <w:sz w:val="28"/>
          <w:szCs w:val="20"/>
        </w:rPr>
        <w:t xml:space="preserve"> </w:t>
      </w:r>
    </w:p>
    <w:p w14:paraId="25FA8D47" w14:textId="2824D344" w:rsidR="00720545" w:rsidRPr="005950D8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4"/>
        <w:jc w:val="both"/>
        <w:rPr>
          <w:sz w:val="24"/>
          <w:szCs w:val="20"/>
          <w:highlight w:val="white"/>
        </w:rPr>
      </w:pPr>
      <w:r w:rsidRPr="005950D8">
        <w:rPr>
          <w:sz w:val="24"/>
          <w:szCs w:val="20"/>
        </w:rPr>
        <w:t>This story provides an in-depth analysis of electric vehicle (EV) pricing across various models and segments. It visualizes the cost distribution, highlighting premium, mid-range, and budget-friendly EVs.</w:t>
      </w:r>
      <w:r w:rsidR="00F716E6" w:rsidRPr="005950D8">
        <w:rPr>
          <w:sz w:val="24"/>
          <w:szCs w:val="20"/>
        </w:rPr>
        <w:t xml:space="preserve">                </w:t>
      </w:r>
    </w:p>
    <w:p w14:paraId="00D95BA1" w14:textId="77777777" w:rsidR="005950D8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C377D39" wp14:editId="6DA616CA">
            <wp:extent cx="573405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9C73" w14:textId="2D9CE331" w:rsidR="005950D8" w:rsidRPr="00011D8E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8"/>
          <w:szCs w:val="20"/>
        </w:rPr>
      </w:pPr>
      <w:r w:rsidRPr="00011D8E">
        <w:rPr>
          <w:rFonts w:eastAsia="Arial" w:cs="Arial"/>
          <w:b/>
          <w:color w:val="000000"/>
          <w:sz w:val="28"/>
          <w:szCs w:val="20"/>
        </w:rPr>
        <w:lastRenderedPageBreak/>
        <w:t>Key Observations and Insights</w:t>
      </w:r>
    </w:p>
    <w:p w14:paraId="37F55E58" w14:textId="59A7020F" w:rsidR="00011D8E" w:rsidRPr="00252915" w:rsidRDefault="005950D8" w:rsidP="0025291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4"/>
          <w:szCs w:val="20"/>
        </w:rPr>
      </w:pPr>
      <w:r w:rsidRPr="00011D8E">
        <w:rPr>
          <w:rFonts w:eastAsia="Arial" w:cs="Arial"/>
          <w:b/>
          <w:color w:val="000000"/>
          <w:sz w:val="24"/>
          <w:szCs w:val="20"/>
        </w:rPr>
        <w:t>Pricing Trends Across EV Models</w:t>
      </w:r>
    </w:p>
    <w:p w14:paraId="27834686" w14:textId="77777777" w:rsidR="00011D8E" w:rsidRPr="00011D8E" w:rsidRDefault="005950D8" w:rsidP="005950D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011D8E">
        <w:rPr>
          <w:rFonts w:eastAsia="Arial" w:cs="Arial"/>
          <w:color w:val="000000"/>
          <w:sz w:val="24"/>
          <w:szCs w:val="20"/>
        </w:rPr>
        <w:t>Prices range from €33,133 (Z5 EV) to €215,000 (Taycan Turbo S).</w:t>
      </w:r>
    </w:p>
    <w:p w14:paraId="4B3E5393" w14:textId="77777777" w:rsidR="00011D8E" w:rsidRPr="00011D8E" w:rsidRDefault="005950D8" w:rsidP="005950D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011D8E">
        <w:rPr>
          <w:rFonts w:eastAsia="Arial" w:cs="Arial"/>
          <w:color w:val="000000"/>
          <w:sz w:val="24"/>
          <w:szCs w:val="20"/>
        </w:rPr>
        <w:t>The Taycan Turbo S (€180,781) and Roadster (€149,000) are among the highest-priced models.</w:t>
      </w:r>
    </w:p>
    <w:p w14:paraId="2BD68D0E" w14:textId="4082034D" w:rsidR="005950D8" w:rsidRDefault="005950D8" w:rsidP="005950D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011D8E">
        <w:rPr>
          <w:rFonts w:eastAsia="Arial" w:cs="Arial"/>
          <w:color w:val="000000"/>
          <w:sz w:val="24"/>
          <w:szCs w:val="20"/>
        </w:rPr>
        <w:t>The most affordable EVs include the Corsa-e (€31,681) and 500e Hatchback (€37,900).</w:t>
      </w:r>
    </w:p>
    <w:p w14:paraId="3899CF00" w14:textId="77777777" w:rsidR="00252915" w:rsidRPr="00252915" w:rsidRDefault="00252915" w:rsidP="002529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500"/>
        <w:rPr>
          <w:rFonts w:eastAsia="Arial" w:cs="Arial"/>
          <w:color w:val="000000"/>
          <w:sz w:val="24"/>
          <w:szCs w:val="20"/>
        </w:rPr>
      </w:pPr>
    </w:p>
    <w:p w14:paraId="60EE29C0" w14:textId="77777777" w:rsidR="005950D8" w:rsidRPr="00011D8E" w:rsidRDefault="005950D8" w:rsidP="00011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4"/>
          <w:szCs w:val="20"/>
        </w:rPr>
      </w:pPr>
      <w:r w:rsidRPr="00011D8E">
        <w:rPr>
          <w:rFonts w:eastAsia="Arial" w:cs="Arial"/>
          <w:b/>
          <w:color w:val="000000"/>
          <w:sz w:val="24"/>
          <w:szCs w:val="20"/>
        </w:rPr>
        <w:t>Segmentation of EVs</w:t>
      </w:r>
    </w:p>
    <w:p w14:paraId="577377EA" w14:textId="77777777" w:rsidR="00011D8E" w:rsidRPr="00011D8E" w:rsidRDefault="005950D8" w:rsidP="005950D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011D8E">
        <w:rPr>
          <w:rFonts w:eastAsia="Arial" w:cs="Arial"/>
          <w:color w:val="000000"/>
          <w:sz w:val="24"/>
          <w:szCs w:val="20"/>
        </w:rPr>
        <w:t xml:space="preserve">The models are categorized into different segments (A, S, N, E, B, D, C, </w:t>
      </w:r>
      <w:proofErr w:type="gramStart"/>
      <w:r w:rsidRPr="00011D8E">
        <w:rPr>
          <w:rFonts w:eastAsia="Arial" w:cs="Arial"/>
          <w:color w:val="000000"/>
          <w:sz w:val="24"/>
          <w:szCs w:val="20"/>
        </w:rPr>
        <w:t>F</w:t>
      </w:r>
      <w:proofErr w:type="gramEnd"/>
      <w:r w:rsidRPr="00011D8E">
        <w:rPr>
          <w:rFonts w:eastAsia="Arial" w:cs="Arial"/>
          <w:color w:val="000000"/>
          <w:sz w:val="24"/>
          <w:szCs w:val="20"/>
        </w:rPr>
        <w:t>).</w:t>
      </w:r>
    </w:p>
    <w:p w14:paraId="4CF6C36C" w14:textId="77777777" w:rsidR="00011D8E" w:rsidRPr="00011D8E" w:rsidRDefault="005950D8" w:rsidP="005950D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011D8E">
        <w:rPr>
          <w:rFonts w:eastAsia="Arial" w:cs="Arial"/>
          <w:color w:val="000000"/>
          <w:sz w:val="24"/>
          <w:szCs w:val="20"/>
        </w:rPr>
        <w:t>The luxury segment (F) features high-end models like Taycan Turbo S and Roadster.</w:t>
      </w:r>
    </w:p>
    <w:p w14:paraId="37C16B15" w14:textId="3653D0FE" w:rsidR="005950D8" w:rsidRDefault="005950D8" w:rsidP="005950D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011D8E">
        <w:rPr>
          <w:rFonts w:eastAsia="Arial" w:cs="Arial"/>
          <w:color w:val="000000"/>
          <w:sz w:val="24"/>
          <w:szCs w:val="20"/>
        </w:rPr>
        <w:t>Budget-friendly EVs belong to segment B and C, making them more accessible.</w:t>
      </w:r>
    </w:p>
    <w:p w14:paraId="508C7CBA" w14:textId="77777777" w:rsidR="00252915" w:rsidRPr="00252915" w:rsidRDefault="00252915" w:rsidP="002529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40"/>
        <w:rPr>
          <w:rFonts w:eastAsia="Arial" w:cs="Arial"/>
          <w:color w:val="000000"/>
          <w:sz w:val="24"/>
          <w:szCs w:val="20"/>
        </w:rPr>
      </w:pPr>
    </w:p>
    <w:p w14:paraId="34F8520C" w14:textId="0B4D76A5" w:rsidR="005950D8" w:rsidRPr="00011D8E" w:rsidRDefault="005950D8" w:rsidP="005950D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4"/>
          <w:szCs w:val="20"/>
        </w:rPr>
      </w:pPr>
      <w:r w:rsidRPr="00011D8E">
        <w:rPr>
          <w:rFonts w:eastAsia="Arial" w:cs="Arial"/>
          <w:b/>
          <w:color w:val="000000"/>
          <w:sz w:val="24"/>
          <w:szCs w:val="20"/>
        </w:rPr>
        <w:t>Mid-Range and Premium Models</w:t>
      </w:r>
    </w:p>
    <w:p w14:paraId="6897BA4C" w14:textId="689AB000" w:rsidR="00AE1ECD" w:rsidRPr="00AE1ECD" w:rsidRDefault="005950D8" w:rsidP="005950D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AE1ECD">
        <w:rPr>
          <w:rFonts w:eastAsia="Arial" w:cs="Arial"/>
          <w:color w:val="000000"/>
          <w:sz w:val="24"/>
          <w:szCs w:val="20"/>
        </w:rPr>
        <w:t xml:space="preserve">Audi e-tron </w:t>
      </w:r>
      <w:r w:rsidR="00AE1ECD" w:rsidRPr="00AE1ECD">
        <w:rPr>
          <w:rFonts w:eastAsia="Arial" w:cs="Arial"/>
          <w:color w:val="000000"/>
          <w:sz w:val="24"/>
          <w:szCs w:val="20"/>
        </w:rPr>
        <w:t>Sportback 55</w:t>
      </w:r>
      <w:r w:rsidRPr="00AE1ECD">
        <w:rPr>
          <w:rFonts w:eastAsia="Arial" w:cs="Arial"/>
          <w:color w:val="000000"/>
          <w:sz w:val="24"/>
          <w:szCs w:val="20"/>
        </w:rPr>
        <w:t xml:space="preserve"> (€125,000) is positioned in the premium category.</w:t>
      </w:r>
    </w:p>
    <w:p w14:paraId="2718D65E" w14:textId="7CF1C79B" w:rsidR="005950D8" w:rsidRDefault="005950D8" w:rsidP="005950D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AE1ECD">
        <w:rPr>
          <w:rFonts w:eastAsia="Arial" w:cs="Arial"/>
          <w:color w:val="000000"/>
          <w:sz w:val="24"/>
          <w:szCs w:val="20"/>
        </w:rPr>
        <w:t xml:space="preserve">Enyaq </w:t>
      </w:r>
      <w:r w:rsidR="00AE1ECD" w:rsidRPr="00AE1ECD">
        <w:rPr>
          <w:rFonts w:eastAsia="Arial" w:cs="Arial"/>
          <w:color w:val="000000"/>
          <w:sz w:val="24"/>
          <w:szCs w:val="20"/>
        </w:rPr>
        <w:t>IV</w:t>
      </w:r>
      <w:r w:rsidRPr="00AE1ECD">
        <w:rPr>
          <w:rFonts w:eastAsia="Arial" w:cs="Arial"/>
          <w:color w:val="000000"/>
          <w:sz w:val="24"/>
          <w:szCs w:val="20"/>
        </w:rPr>
        <w:t xml:space="preserve"> 50 (€45,000) and ID.3 Pro (€40,936) fall in the mid-range category.</w:t>
      </w:r>
    </w:p>
    <w:p w14:paraId="6CC8059E" w14:textId="77777777" w:rsidR="00252915" w:rsidRPr="00252915" w:rsidRDefault="00252915" w:rsidP="002529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40"/>
        <w:rPr>
          <w:rFonts w:eastAsia="Arial" w:cs="Arial"/>
          <w:color w:val="000000"/>
          <w:sz w:val="24"/>
          <w:szCs w:val="20"/>
        </w:rPr>
      </w:pPr>
    </w:p>
    <w:p w14:paraId="7EE49D33" w14:textId="272968BE" w:rsidR="005950D8" w:rsidRPr="00AE1ECD" w:rsidRDefault="005950D8" w:rsidP="00AE1EC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4"/>
          <w:szCs w:val="20"/>
        </w:rPr>
      </w:pPr>
      <w:r w:rsidRPr="00AE1ECD">
        <w:rPr>
          <w:rFonts w:eastAsia="Arial" w:cs="Arial"/>
          <w:b/>
          <w:color w:val="000000"/>
          <w:sz w:val="24"/>
          <w:szCs w:val="20"/>
        </w:rPr>
        <w:t xml:space="preserve">Price Distribution </w:t>
      </w:r>
      <w:r w:rsidR="00AE1ECD" w:rsidRPr="00AE1ECD">
        <w:rPr>
          <w:rFonts w:eastAsia="Arial" w:cs="Arial"/>
          <w:b/>
          <w:color w:val="000000"/>
          <w:sz w:val="24"/>
          <w:szCs w:val="20"/>
        </w:rPr>
        <w:t>across</w:t>
      </w:r>
      <w:r w:rsidRPr="00AE1ECD">
        <w:rPr>
          <w:rFonts w:eastAsia="Arial" w:cs="Arial"/>
          <w:b/>
          <w:color w:val="000000"/>
          <w:sz w:val="24"/>
          <w:szCs w:val="20"/>
        </w:rPr>
        <w:t xml:space="preserve"> Manufacturers</w:t>
      </w:r>
    </w:p>
    <w:p w14:paraId="7DB1CA67" w14:textId="77777777" w:rsidR="00AE1ECD" w:rsidRPr="00AE1ECD" w:rsidRDefault="005950D8" w:rsidP="005950D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AE1ECD">
        <w:rPr>
          <w:rFonts w:eastAsia="Arial" w:cs="Arial"/>
          <w:color w:val="000000"/>
          <w:sz w:val="24"/>
          <w:szCs w:val="20"/>
        </w:rPr>
        <w:t>Volkswagen, Audi, Porsche, and Tesla dominate the higher price ranges.</w:t>
      </w:r>
    </w:p>
    <w:p w14:paraId="40F78660" w14:textId="28AED8D1" w:rsidR="005950D8" w:rsidRPr="00AE1ECD" w:rsidRDefault="005950D8" w:rsidP="005950D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AE1ECD">
        <w:rPr>
          <w:rFonts w:eastAsia="Arial" w:cs="Arial"/>
          <w:color w:val="000000"/>
          <w:sz w:val="24"/>
          <w:szCs w:val="20"/>
        </w:rPr>
        <w:t>Peugeot, Citroen, and Hyundai offer more affordable EVs.</w:t>
      </w:r>
    </w:p>
    <w:p w14:paraId="72EAE996" w14:textId="77777777" w:rsidR="005950D8" w:rsidRPr="00011D8E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0"/>
          <w:szCs w:val="20"/>
        </w:rPr>
      </w:pPr>
    </w:p>
    <w:p w14:paraId="39102218" w14:textId="77777777" w:rsidR="005950D8" w:rsidRPr="00AE1ECD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8"/>
          <w:szCs w:val="20"/>
        </w:rPr>
      </w:pPr>
      <w:r w:rsidRPr="00AE1ECD">
        <w:rPr>
          <w:rFonts w:eastAsia="Arial" w:cs="Arial"/>
          <w:b/>
          <w:color w:val="000000"/>
          <w:sz w:val="28"/>
          <w:szCs w:val="20"/>
        </w:rPr>
        <w:t>Story Progression and Narrative</w:t>
      </w:r>
    </w:p>
    <w:p w14:paraId="2266250A" w14:textId="77777777" w:rsidR="00AE1ECD" w:rsidRPr="002561A8" w:rsidRDefault="00AE1ECD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AE1ECD">
        <w:rPr>
          <w:rFonts w:eastAsia="Arial" w:cs="Arial"/>
          <w:b/>
          <w:color w:val="000000"/>
          <w:sz w:val="24"/>
          <w:szCs w:val="20"/>
        </w:rPr>
        <w:t xml:space="preserve">        </w:t>
      </w:r>
      <w:r w:rsidR="005950D8" w:rsidRPr="002561A8">
        <w:rPr>
          <w:rFonts w:eastAsia="Arial" w:cs="Arial"/>
          <w:b/>
          <w:color w:val="000000"/>
          <w:sz w:val="24"/>
          <w:szCs w:val="20"/>
        </w:rPr>
        <w:t>Introduction:</w:t>
      </w:r>
      <w:r w:rsidR="005950D8" w:rsidRPr="002561A8">
        <w:rPr>
          <w:rFonts w:eastAsia="Arial" w:cs="Arial"/>
          <w:color w:val="000000"/>
          <w:sz w:val="24"/>
          <w:szCs w:val="20"/>
        </w:rPr>
        <w:t xml:space="preserve"> Displaying the price distr</w:t>
      </w:r>
      <w:r w:rsidRPr="002561A8">
        <w:rPr>
          <w:rFonts w:eastAsia="Arial" w:cs="Arial"/>
          <w:color w:val="000000"/>
          <w:sz w:val="24"/>
          <w:szCs w:val="20"/>
        </w:rPr>
        <w:t>ibution of different EV models.</w:t>
      </w:r>
    </w:p>
    <w:p w14:paraId="232BEB37" w14:textId="77777777" w:rsidR="00AE1ECD" w:rsidRPr="002561A8" w:rsidRDefault="00AE1ECD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2561A8">
        <w:rPr>
          <w:rFonts w:eastAsia="Arial" w:cs="Arial"/>
          <w:b/>
          <w:color w:val="000000"/>
          <w:sz w:val="24"/>
          <w:szCs w:val="20"/>
        </w:rPr>
        <w:t xml:space="preserve">        </w:t>
      </w:r>
      <w:r w:rsidR="005950D8" w:rsidRPr="002561A8">
        <w:rPr>
          <w:rFonts w:eastAsia="Arial" w:cs="Arial"/>
          <w:b/>
          <w:color w:val="000000"/>
          <w:sz w:val="24"/>
          <w:szCs w:val="20"/>
        </w:rPr>
        <w:t>Segmentation:</w:t>
      </w:r>
      <w:r w:rsidR="005950D8" w:rsidRPr="002561A8">
        <w:rPr>
          <w:rFonts w:eastAsia="Arial" w:cs="Arial"/>
          <w:color w:val="000000"/>
          <w:sz w:val="24"/>
          <w:szCs w:val="20"/>
        </w:rPr>
        <w:t xml:space="preserve"> Highlighting cate</w:t>
      </w:r>
      <w:r w:rsidRPr="002561A8">
        <w:rPr>
          <w:rFonts w:eastAsia="Arial" w:cs="Arial"/>
          <w:color w:val="000000"/>
          <w:sz w:val="24"/>
          <w:szCs w:val="20"/>
        </w:rPr>
        <w:t>gories of EVs based on pricing.</w:t>
      </w:r>
    </w:p>
    <w:p w14:paraId="7554A66C" w14:textId="7530931E" w:rsidR="00AE1ECD" w:rsidRPr="002561A8" w:rsidRDefault="00AE1ECD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2561A8">
        <w:rPr>
          <w:rFonts w:eastAsia="Arial" w:cs="Arial"/>
          <w:color w:val="000000"/>
          <w:sz w:val="24"/>
          <w:szCs w:val="20"/>
        </w:rPr>
        <w:t xml:space="preserve">        </w:t>
      </w:r>
      <w:r w:rsidR="005950D8" w:rsidRPr="002561A8">
        <w:rPr>
          <w:rFonts w:eastAsia="Arial" w:cs="Arial"/>
          <w:b/>
          <w:color w:val="000000"/>
          <w:sz w:val="24"/>
          <w:szCs w:val="20"/>
        </w:rPr>
        <w:t>Luxury vs. Budget:</w:t>
      </w:r>
      <w:r w:rsidR="005950D8" w:rsidRPr="002561A8">
        <w:rPr>
          <w:rFonts w:eastAsia="Arial" w:cs="Arial"/>
          <w:color w:val="000000"/>
          <w:sz w:val="24"/>
          <w:szCs w:val="20"/>
        </w:rPr>
        <w:t xml:space="preserve"> Comparing </w:t>
      </w:r>
      <w:r w:rsidRPr="002561A8">
        <w:rPr>
          <w:rFonts w:eastAsia="Arial" w:cs="Arial"/>
          <w:color w:val="000000"/>
          <w:sz w:val="24"/>
          <w:szCs w:val="20"/>
        </w:rPr>
        <w:t>high-end vs. affordable models.</w:t>
      </w:r>
    </w:p>
    <w:p w14:paraId="79483917" w14:textId="77777777" w:rsidR="00AE1ECD" w:rsidRPr="002561A8" w:rsidRDefault="00AE1ECD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2561A8">
        <w:rPr>
          <w:rFonts w:eastAsia="Arial" w:cs="Arial"/>
          <w:b/>
          <w:color w:val="000000"/>
          <w:sz w:val="24"/>
          <w:szCs w:val="20"/>
        </w:rPr>
        <w:t xml:space="preserve">        </w:t>
      </w:r>
      <w:r w:rsidR="005950D8" w:rsidRPr="002561A8">
        <w:rPr>
          <w:rFonts w:eastAsia="Arial" w:cs="Arial"/>
          <w:b/>
          <w:color w:val="000000"/>
          <w:sz w:val="24"/>
          <w:szCs w:val="20"/>
        </w:rPr>
        <w:t>Key Brand Insights:</w:t>
      </w:r>
      <w:r w:rsidR="005950D8" w:rsidRPr="002561A8">
        <w:rPr>
          <w:rFonts w:eastAsia="Arial" w:cs="Arial"/>
          <w:color w:val="000000"/>
          <w:sz w:val="24"/>
          <w:szCs w:val="20"/>
        </w:rPr>
        <w:t xml:space="preserve"> Identifying dominant manufacturers in</w:t>
      </w:r>
      <w:r w:rsidRPr="002561A8">
        <w:rPr>
          <w:rFonts w:eastAsia="Arial" w:cs="Arial"/>
          <w:color w:val="000000"/>
          <w:sz w:val="24"/>
          <w:szCs w:val="20"/>
        </w:rPr>
        <w:t xml:space="preserve"> each price range.</w:t>
      </w:r>
    </w:p>
    <w:p w14:paraId="74F97D73" w14:textId="77777777" w:rsidR="00AE1ECD" w:rsidRDefault="00AE1ECD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Cs w:val="20"/>
        </w:rPr>
      </w:pPr>
    </w:p>
    <w:p w14:paraId="749B6B9C" w14:textId="29779CD3" w:rsidR="00252915" w:rsidRPr="00252915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AE1ECD">
        <w:rPr>
          <w:rFonts w:eastAsia="Arial" w:cs="Arial"/>
          <w:b/>
          <w:color w:val="000000"/>
          <w:sz w:val="24"/>
          <w:szCs w:val="20"/>
        </w:rPr>
        <w:t xml:space="preserve">Conclusion: </w:t>
      </w:r>
      <w:r w:rsidRPr="002561A8">
        <w:rPr>
          <w:rFonts w:eastAsia="Arial" w:cs="Arial"/>
          <w:color w:val="000000"/>
          <w:sz w:val="24"/>
          <w:szCs w:val="20"/>
        </w:rPr>
        <w:t>Summarizing the affordability spectrum of EVs f</w:t>
      </w:r>
      <w:r w:rsidR="00252915">
        <w:rPr>
          <w:rFonts w:eastAsia="Arial" w:cs="Arial"/>
          <w:color w:val="000000"/>
          <w:sz w:val="24"/>
          <w:szCs w:val="20"/>
        </w:rPr>
        <w:t>or different consumer segments.</w:t>
      </w:r>
    </w:p>
    <w:p w14:paraId="72E7AE28" w14:textId="77777777" w:rsidR="005950D8" w:rsidRPr="00252915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b/>
          <w:color w:val="000000"/>
          <w:sz w:val="28"/>
          <w:szCs w:val="20"/>
        </w:rPr>
      </w:pPr>
      <w:r w:rsidRPr="00252915">
        <w:rPr>
          <w:rFonts w:eastAsia="Arial" w:cs="Arial"/>
          <w:b/>
          <w:color w:val="000000"/>
          <w:sz w:val="28"/>
          <w:szCs w:val="20"/>
        </w:rPr>
        <w:t>Final Takeaways</w:t>
      </w:r>
    </w:p>
    <w:p w14:paraId="492EE2E1" w14:textId="77777777" w:rsidR="00252915" w:rsidRDefault="00252915" w:rsidP="005950D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252915">
        <w:rPr>
          <w:rFonts w:eastAsia="Arial"/>
          <w:color w:val="000000"/>
          <w:sz w:val="24"/>
          <w:szCs w:val="20"/>
        </w:rPr>
        <w:t>L</w:t>
      </w:r>
      <w:r w:rsidR="005950D8" w:rsidRPr="00252915">
        <w:rPr>
          <w:rFonts w:eastAsia="Arial" w:cs="Arial"/>
          <w:color w:val="000000"/>
          <w:sz w:val="24"/>
          <w:szCs w:val="20"/>
        </w:rPr>
        <w:t>uxury EVs are significantly more expensive, with a €100K+ price difference from budget EVs.</w:t>
      </w:r>
    </w:p>
    <w:p w14:paraId="208E19D8" w14:textId="77777777" w:rsidR="00252915" w:rsidRDefault="005950D8" w:rsidP="005950D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252915">
        <w:rPr>
          <w:rFonts w:eastAsia="Arial" w:cs="Arial"/>
          <w:color w:val="000000"/>
          <w:sz w:val="24"/>
          <w:szCs w:val="20"/>
        </w:rPr>
        <w:t>Mid-range EVs (priced €40K - €70K) are widely available, offering balanced features.</w:t>
      </w:r>
    </w:p>
    <w:p w14:paraId="557DE3E1" w14:textId="06822DC4" w:rsidR="005950D8" w:rsidRPr="00252915" w:rsidRDefault="005950D8" w:rsidP="005950D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4"/>
          <w:szCs w:val="20"/>
        </w:rPr>
      </w:pPr>
      <w:r w:rsidRPr="00252915">
        <w:rPr>
          <w:rFonts w:eastAsia="Arial" w:cs="Arial"/>
          <w:color w:val="000000"/>
          <w:sz w:val="24"/>
          <w:szCs w:val="20"/>
        </w:rPr>
        <w:t>The budget segment is ideal for new adopters looking for cost-effective electric mobility.</w:t>
      </w:r>
    </w:p>
    <w:p w14:paraId="599C105E" w14:textId="77777777" w:rsidR="005950D8" w:rsidRPr="00011D8E" w:rsidRDefault="005950D8" w:rsidP="005950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="Arial" w:cs="Arial"/>
          <w:color w:val="000000"/>
          <w:sz w:val="20"/>
          <w:szCs w:val="20"/>
        </w:rPr>
      </w:pPr>
    </w:p>
    <w:sectPr w:rsidR="005950D8" w:rsidRPr="00011D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FBA"/>
    <w:multiLevelType w:val="hybridMultilevel"/>
    <w:tmpl w:val="D22ECEA4"/>
    <w:lvl w:ilvl="0" w:tplc="4009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">
    <w:nsid w:val="05ED0C11"/>
    <w:multiLevelType w:val="hybridMultilevel"/>
    <w:tmpl w:val="602AC966"/>
    <w:lvl w:ilvl="0" w:tplc="BAFC0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B1DE4"/>
    <w:multiLevelType w:val="multilevel"/>
    <w:tmpl w:val="EB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A03C1"/>
    <w:multiLevelType w:val="multilevel"/>
    <w:tmpl w:val="49D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70B10"/>
    <w:multiLevelType w:val="hybridMultilevel"/>
    <w:tmpl w:val="05BA193A"/>
    <w:lvl w:ilvl="0" w:tplc="6002BBF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77149"/>
    <w:multiLevelType w:val="multilevel"/>
    <w:tmpl w:val="BA3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97668"/>
    <w:multiLevelType w:val="hybridMultilevel"/>
    <w:tmpl w:val="7FA45A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0627A"/>
    <w:multiLevelType w:val="multilevel"/>
    <w:tmpl w:val="817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F558E6"/>
    <w:multiLevelType w:val="hybridMultilevel"/>
    <w:tmpl w:val="79A660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CF327D"/>
    <w:multiLevelType w:val="hybridMultilevel"/>
    <w:tmpl w:val="1FEAD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D6945"/>
    <w:multiLevelType w:val="hybridMultilevel"/>
    <w:tmpl w:val="9C64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65C97"/>
    <w:multiLevelType w:val="hybridMultilevel"/>
    <w:tmpl w:val="95AC4D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EB272D"/>
    <w:multiLevelType w:val="hybridMultilevel"/>
    <w:tmpl w:val="2F82E00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5AC750FF"/>
    <w:multiLevelType w:val="hybridMultilevel"/>
    <w:tmpl w:val="F4CE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75AC7"/>
    <w:multiLevelType w:val="multilevel"/>
    <w:tmpl w:val="8AD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C5BB9"/>
    <w:multiLevelType w:val="multilevel"/>
    <w:tmpl w:val="429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D90111"/>
    <w:multiLevelType w:val="hybridMultilevel"/>
    <w:tmpl w:val="205476B8"/>
    <w:lvl w:ilvl="0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714B0E9B"/>
    <w:multiLevelType w:val="hybridMultilevel"/>
    <w:tmpl w:val="F722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276F1"/>
    <w:multiLevelType w:val="hybridMultilevel"/>
    <w:tmpl w:val="A00C8E1A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79BF79E6"/>
    <w:multiLevelType w:val="multilevel"/>
    <w:tmpl w:val="6FA8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B95F7B"/>
    <w:multiLevelType w:val="hybridMultilevel"/>
    <w:tmpl w:val="C84ED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A07F9"/>
    <w:multiLevelType w:val="multilevel"/>
    <w:tmpl w:val="FDD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21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12"/>
  </w:num>
  <w:num w:numId="14">
    <w:abstractNumId w:val="20"/>
  </w:num>
  <w:num w:numId="15">
    <w:abstractNumId w:val="11"/>
  </w:num>
  <w:num w:numId="16">
    <w:abstractNumId w:val="17"/>
  </w:num>
  <w:num w:numId="17">
    <w:abstractNumId w:val="18"/>
  </w:num>
  <w:num w:numId="18">
    <w:abstractNumId w:val="8"/>
  </w:num>
  <w:num w:numId="19">
    <w:abstractNumId w:val="13"/>
  </w:num>
  <w:num w:numId="20">
    <w:abstractNumId w:val="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45"/>
    <w:rsid w:val="00011D8E"/>
    <w:rsid w:val="00252915"/>
    <w:rsid w:val="002561A8"/>
    <w:rsid w:val="005950D8"/>
    <w:rsid w:val="00642171"/>
    <w:rsid w:val="00720545"/>
    <w:rsid w:val="00722983"/>
    <w:rsid w:val="00927081"/>
    <w:rsid w:val="00A136B3"/>
    <w:rsid w:val="00A20696"/>
    <w:rsid w:val="00AE1ECD"/>
    <w:rsid w:val="00AF7735"/>
    <w:rsid w:val="00D043A9"/>
    <w:rsid w:val="00F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8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696"/>
    <w:rPr>
      <w:b/>
      <w:bCs/>
    </w:rPr>
  </w:style>
  <w:style w:type="paragraph" w:styleId="ListParagraph">
    <w:name w:val="List Paragraph"/>
    <w:basedOn w:val="Normal"/>
    <w:uiPriority w:val="34"/>
    <w:qFormat/>
    <w:rsid w:val="00642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696"/>
    <w:rPr>
      <w:b/>
      <w:bCs/>
    </w:rPr>
  </w:style>
  <w:style w:type="paragraph" w:styleId="ListParagraph">
    <w:name w:val="List Paragraph"/>
    <w:basedOn w:val="Normal"/>
    <w:uiPriority w:val="34"/>
    <w:qFormat/>
    <w:rsid w:val="00642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zENzSK+DYbDTtIJ60h9xwbcnw==">CgMxLjA4AHIhMVdSNElNS1BzRi1LdVRvbU94ZWRVWFh1U0pHdEFEMkFi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DELL</cp:lastModifiedBy>
  <cp:revision>8</cp:revision>
  <dcterms:created xsi:type="dcterms:W3CDTF">2024-01-13T08:53:00Z</dcterms:created>
  <dcterms:modified xsi:type="dcterms:W3CDTF">2025-03-28T17:43:00Z</dcterms:modified>
</cp:coreProperties>
</file>