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Introduction</w:t>
      </w:r>
    </w:p>
    <w:p>
      <w:pPr>
        <w:spacing w:before="240" w:after="200"/>
      </w:pPr>
      <w:r>
        <w:t>This document details the results of the &lt;Version&gt; Quarterly Update Testing.  As per Oracle’s timetable for quarterly releases for wave &lt;number&gt;, the upgrade took place on non-production environments on the &lt;day(dd/mm/yy)&gt;, and into the production environment on the &lt;day (dd/mm/yy)&gt;.</w:t>
      </w:r>
    </w:p>
    <w:p>
      <w:r>
        <w:t>Lorem ipsum dolor sit amet.</w:t>
      </w:r>
    </w:p>
    <w:p>
      <w:pPr>
        <w:pStyle w:val="Heading1"/>
      </w:pPr>
      <w:r>
        <w:t>Introduction</w:t>
      </w:r>
    </w:p>
    <w:p>
      <w:r>
        <w:t>Lorem ipsum dolor sit amets.</w:t>
      </w:r>
    </w:p>
    <w:p>
      <w:pPr>
        <w:pStyle w:val="Heading2"/>
      </w:pPr>
      <w:r>
        <w:t>Introduction</w:t>
      </w:r>
    </w:p>
    <w:p>
      <w:r>
        <w:t>Lorem ipsum dolor sit amets.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Verdana" w:hAnsi="Verdana"/>
      <w:b/>
      <w:bCs/>
      <w:color w:val="00B6B5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