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val="0"/>
          <w:sz w:val="24"/>
        </w:rPr>
        <w:t>İNSAN BEYNİNİN VE DÜŞÜNCELERİNİN YAZILIMLA OKUNMASI</w:t>
      </w:r>
    </w:p>
    <w:p>
      <w:pPr>
        <w:spacing w:after="0"/>
      </w:pPr>
    </w:p>
    <w:p>
      <w:pPr>
        <w:spacing w:line="240" w:lineRule="auto" w:after="120"/>
        <w:jc w:val="center"/>
      </w:pPr>
      <w:r>
        <w:rPr>
          <w:rFonts w:ascii="Times New Roman" w:hAnsi="Times New Roman"/>
          <w:b w:val="0"/>
          <w:sz w:val="24"/>
        </w:rPr>
        <w:t>Nörobilimsel sinyal işleme, yapay zeka destekli çıkarım ve etik sınırların birlikte incelenmesi</w:t>
      </w:r>
    </w:p>
    <w:p>
      <w:pPr>
        <w:spacing w:after="0"/>
      </w:pPr>
    </w:p>
    <w:p>
      <w:pPr>
        <w:spacing w:line="240" w:lineRule="auto" w:after="120"/>
        <w:jc w:val="center"/>
      </w:pPr>
      <w:r>
        <w:rPr>
          <w:rFonts w:ascii="Times New Roman" w:hAnsi="Times New Roman"/>
          <w:b w:val="0"/>
          <w:sz w:val="24"/>
        </w:rPr>
        <w:t>Yüksek Lisans Tezi</w:t>
      </w:r>
    </w:p>
    <w:p>
      <w:pPr>
        <w:spacing w:after="0"/>
      </w:pPr>
    </w:p>
    <w:p>
      <w:pPr>
        <w:spacing w:line="240" w:lineRule="auto" w:after="120"/>
        <w:jc w:val="center"/>
      </w:pPr>
      <w:r>
        <w:rPr>
          <w:rFonts w:ascii="Times New Roman" w:hAnsi="Times New Roman"/>
          <w:b w:val="0"/>
          <w:sz w:val="24"/>
        </w:rPr>
        <w:t>Program: Bilgisayar Mühendisliği / Bilişim Sistemleri</w:t>
      </w:r>
    </w:p>
    <w:p>
      <w:pPr>
        <w:spacing w:after="0"/>
      </w:pPr>
    </w:p>
    <w:p>
      <w:pPr>
        <w:spacing w:line="240" w:lineRule="auto" w:after="120"/>
        <w:jc w:val="center"/>
      </w:pPr>
      <w:r>
        <w:rPr>
          <w:rFonts w:ascii="Times New Roman" w:hAnsi="Times New Roman"/>
          <w:b w:val="0"/>
          <w:sz w:val="24"/>
        </w:rPr>
        <w:t>Danışman: —</w:t>
      </w:r>
    </w:p>
    <w:p>
      <w:pPr>
        <w:spacing w:after="0"/>
      </w:pPr>
    </w:p>
    <w:p>
      <w:pPr>
        <w:spacing w:line="240" w:lineRule="auto" w:after="120"/>
        <w:jc w:val="center"/>
      </w:pPr>
      <w:r>
        <w:rPr>
          <w:rFonts w:ascii="Times New Roman" w:hAnsi="Times New Roman"/>
          <w:b w:val="0"/>
          <w:sz w:val="24"/>
        </w:rPr>
        <w:t>Yıl: 2026</w:t>
      </w:r>
    </w:p>
    <w:p/>
    <w:p>
      <w:pPr>
        <w:spacing w:line="240" w:lineRule="auto"/>
        <w:jc w:val="center"/>
      </w:pPr>
      <w:r>
        <w:rPr>
          <w:rFonts w:ascii="Arial" w:hAnsi="Arial"/>
          <w:b/>
          <w:sz w:val="28"/>
        </w:rPr>
        <w:t>2026</w:t>
      </w:r>
    </w:p>
    <w:p>
      <w:r>
        <w:br w:type="page"/>
      </w:r>
    </w:p>
    <w:p>
      <w:pPr>
        <w:pStyle w:val="Heading1"/>
      </w:pPr>
      <w:r>
        <w:t>ÖZET</w:t>
      </w:r>
    </w:p>
    <w:p>
      <w:pPr>
        <w:ind w:firstLine="709"/>
      </w:pPr>
      <w:r>
        <w:t>Bu çalışmada, insan beyninin ve düşüncelerinin yazılımla okunması konusu dört boyutlu bir çerçevede incelenmiştir: nörobilimsel temeller, yapay zekâ destekli çıkarım, klinik uygulamalar ve etik-hukukî sınırlar. Yöntem olarak nitel kaynak temelli derleme kullanılmıştır; çalışma Crossref ve OpenAlex veri tabanlarında kaydedilmiş bir arama protokolüne dayanır. Kaynakların 37'sinden 13'ü iki bağımsız kayıt defteri arasında doğrulanmıştır; kalan 24 kaynak doğrulanamadığı için DOI'leri kaynakçada verilmemiştir. Doğrulama sırasında tespit edilip giderilen araç kusurları EK-2'de belgelenmiştir.</w:t>
      </w:r>
    </w:p>
    <w:p>
      <w:pPr>
        <w:ind w:firstLine="709"/>
      </w:pPr>
      <w:r>
        <w:t>Bulgular şu başlıklar altında özetlenmiştir. Birincisi, beyin-bilgisayar arayüzü (BCI) bir algılama aracı değil, kapalı bir geri bildirim sistemidir; başarı, sinyal kalitesi kadar kullanıcı deneyimi ve eğitim süreciyle belirlenir. İkincisi, derin öğrenme ve dönüştürücü mimariler EEG çıkarımında gerçek kazançlar sağlamakta; ancak bu kazançların çoğu aynı kanal sayısı, aynı filtre ve aynı bölme protokolüne dayanan karşılaştırmalardan gelmektedir, bu nedenle alanın ilerlemesi büyük ölçüde veri ve karşılaştırma protokollerinin zayıflığından kaynaklanmaktadır. Üçüncüsü, klinik yararlılık teknolojinin karmaşıklığıyla değil, klinik gereksinim ile teknolojik sınırlar arasındaki eşleşmeyle ölçülmektedir; iletişim sistemlerinde bu eşleşme en yüksek, tanı ve tıbbi karar desteği alanlarında ise henüz kurulmamıştır. Dördüncüsü, BCI'nin asıl etik gerilimi veri gizliliğini aşarak zihinsel özgürlüğü ilgilendirmektedir.</w:t>
      </w:r>
    </w:p>
    <w:p>
      <w:pPr>
        <w:ind w:firstLine="709"/>
      </w:pPr>
      <w:r>
        <w:t>Çalışma, kişisel nöral verinin duyarlı kişisel veri statüsüyle korunması, model eğitimi için ayrı rıza, alt grup performansının raporlanması ve sistem sınırlarının kullanıcıya açıklanması yönünde yedi ilkeden oluşan bir düzenleyici çerçeve önermektedir. Çalışma nicel ampirik veri üretmemiş, açık erişime açık kaynaklarla sınırlı kalmıştır.</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D9D9"/>
          </w:tcPr>
          <w:p>
            <w:pPr>
              <w:spacing w:line="240" w:lineRule="auto" w:after="40"/>
              <w:jc w:val="center"/>
            </w:pPr>
            <w:r/>
            <w:r>
              <w:rPr>
                <w:rFonts w:ascii="Times New Roman" w:hAnsi="Times New Roman"/>
                <w:b/>
                <w:sz w:val="20"/>
              </w:rPr>
              <w:t>Anahtar Kelimeler</w:t>
            </w:r>
          </w:p>
        </w:tc>
        <w:tc>
          <w:tcPr>
            <w:tcW w:type="dxa" w:w="4535"/>
            <w:shd w:val="clear" w:color="auto" w:fill="D9D9D9"/>
          </w:tcPr>
          <w:p>
            <w:pPr>
              <w:spacing w:line="240" w:lineRule="auto" w:after="40"/>
              <w:jc w:val="center"/>
            </w:pPr>
            <w:r/>
            <w:r>
              <w:rPr>
                <w:rFonts w:ascii="Times New Roman" w:hAnsi="Times New Roman"/>
                <w:b/>
                <w:sz w:val="20"/>
              </w:rPr>
              <w:t>Keywords</w:t>
            </w:r>
          </w:p>
        </w:tc>
      </w:tr>
      <w:tr>
        <w:tc>
          <w:tcPr>
            <w:tcW w:type="dxa" w:w="4535"/>
          </w:tcPr>
          <w:p>
            <w:pPr>
              <w:spacing w:line="240" w:lineRule="auto" w:after="40"/>
              <w:jc w:val="left"/>
            </w:pPr>
            <w:r/>
            <w:r>
              <w:rPr>
                <w:rFonts w:ascii="Times New Roman" w:hAnsi="Times New Roman"/>
                <w:sz w:val="20"/>
              </w:rPr>
              <w:t>Beyin-bilgisayar arayüzü, EEG, derin öğrenme, yapay zekâ, nöroetik, veri gizliliği, motor imajineri</w:t>
            </w:r>
          </w:p>
        </w:tc>
        <w:tc>
          <w:tcPr>
            <w:tcW w:type="dxa" w:w="4535"/>
          </w:tcPr>
          <w:p>
            <w:pPr>
              <w:spacing w:line="240" w:lineRule="auto" w:after="40"/>
              <w:jc w:val="left"/>
            </w:pPr>
            <w:r/>
            <w:r>
              <w:rPr>
                <w:rFonts w:ascii="Times New Roman" w:hAnsi="Times New Roman"/>
                <w:sz w:val="20"/>
              </w:rPr>
              <w:t>Brain-computer interface, EEG, deep learning, artificial intelligence, neuroethics, data privacy, motor imagery</w:t>
            </w:r>
          </w:p>
        </w:tc>
      </w:tr>
    </w:tbl>
    <w:p>
      <w:pPr>
        <w:spacing w:after="80"/>
      </w:pPr>
    </w:p>
    <w:p>
      <w:pPr>
        <w:spacing w:line="240" w:lineRule="auto" w:after="200"/>
        <w:jc w:val="center"/>
      </w:pPr>
      <w:r>
        <w:rPr>
          <w:rFonts w:ascii="Times New Roman" w:hAnsi="Times New Roman"/>
          <w:i/>
          <w:sz w:val="20"/>
        </w:rPr>
        <w:t>Tablo 0.1. Anahtar kelimeler.</w:t>
      </w:r>
    </w:p>
    <w:p>
      <w:r>
        <w:br w:type="page"/>
      </w:r>
    </w:p>
    <w:p>
      <w:pPr>
        <w:pStyle w:val="Heading1"/>
      </w:pPr>
      <w:r>
        <w:t>ABSTRACT</w:t>
      </w:r>
    </w:p>
    <w:p>
      <w:pPr>
        <w:ind w:firstLine="709"/>
      </w:pPr>
      <w:r>
        <w:t>This thesis examines the problem of reading the human brain and its thoughts with software along four dimensions: neuroscientific foundations, artificial-intelligence-assisted inference, clinical applications, and ethical-legal limits. The study is a qualitative narrative literature review grounded in a registered search protocol across Crossref and OpenAlex. Of the 37 references listed, 13 were verified against two independent registries and carry a DOI; the remaining 24 could not be verified and are therefore given without DOIs. Five tool defects encountered during verification are documented in Appendix 2.</w:t>
      </w:r>
    </w:p>
    <w:p>
      <w:pPr>
        <w:ind w:firstLine="709"/>
      </w:pPr>
      <w:r>
        <w:t>The findings are summarised as follows. First, a brain-computer interface (BCI) is not a perception device but a closed feedback system: performance is determined by signal quality as much as by user experience and training protocol. Second, deep learning and transformer architectures yield genuine gains in EEG inference; however, most reported gains derive from comparisons that share the same channel count, filtering, and split protocol, so field progress is driven largely by weaknesses in data and benchmarking practice rather than by saturated algorithmic capacity. Third, clinical benefit is governed by the fit between clinical need and technical limits, not by the technical sophistication of the system; this fit is highest for communication applications and still unestablished for diagnosis and medical decision support. Fourth, the principal ethical tension in BCI transcends data privacy and concerns cognitive liberty.</w:t>
      </w:r>
    </w:p>
    <w:p>
      <w:pPr>
        <w:ind w:firstLine="709"/>
      </w:pPr>
      <w:r>
        <w:t>The thesis proposes a seven-principle regulatory framework: treating personal neural data as sensitive personal data; extending consent to reuse and model training, with separate consent for the latter; reporting performance across user subgroups; granting data subjects rights of access, portability, and erasure, including for data withheld from model training; disclosing the system's reliability limits to users; setting structural boundaries on continuous monitoring, model updating, and feedback loops; and holding commercial use in healthy users to a higher evidence threshold than use in patient groups. The study does not generate quantitative empirical data and is limited to openly accessible sources.</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D9D9"/>
          </w:tcPr>
          <w:p>
            <w:pPr>
              <w:spacing w:line="240" w:lineRule="auto" w:after="40"/>
              <w:jc w:val="center"/>
            </w:pPr>
            <w:r/>
            <w:r>
              <w:rPr>
                <w:rFonts w:ascii="Times New Roman" w:hAnsi="Times New Roman"/>
                <w:b/>
                <w:sz w:val="20"/>
              </w:rPr>
              <w:t>Keywords</w:t>
            </w:r>
          </w:p>
        </w:tc>
        <w:tc>
          <w:tcPr>
            <w:tcW w:type="dxa" w:w="4535"/>
            <w:shd w:val="clear" w:color="auto" w:fill="D9D9D9"/>
          </w:tcPr>
          <w:p>
            <w:pPr>
              <w:spacing w:line="240" w:lineRule="auto" w:after="40"/>
              <w:jc w:val="center"/>
            </w:pPr>
            <w:r/>
            <w:r>
              <w:rPr>
                <w:rFonts w:ascii="Times New Roman" w:hAnsi="Times New Roman"/>
                <w:b/>
                <w:sz w:val="20"/>
              </w:rPr>
            </w:r>
          </w:p>
        </w:tc>
      </w:tr>
      <w:tr>
        <w:tc>
          <w:tcPr>
            <w:tcW w:type="dxa" w:w="4535"/>
          </w:tcPr>
          <w:p>
            <w:pPr>
              <w:spacing w:line="240" w:lineRule="auto" w:after="40"/>
              <w:jc w:val="left"/>
            </w:pPr>
            <w:r/>
            <w:r>
              <w:rPr>
                <w:rFonts w:ascii="Times New Roman" w:hAnsi="Times New Roman"/>
                <w:sz w:val="20"/>
              </w:rPr>
              <w:t>Brain-computer interface, EEG, deep learning, artificial intelligence, neuroethics, data privacy, motor imagery</w:t>
            </w:r>
          </w:p>
        </w:tc>
        <w:tc>
          <w:tcPr>
            <w:tcW w:type="dxa" w:w="4535"/>
          </w:tcPr>
          <w:p>
            <w:pPr>
              <w:spacing w:line="240" w:lineRule="auto" w:after="40"/>
              <w:jc w:val="left"/>
            </w:pPr>
            <w:r/>
            <w:r>
              <w:rPr>
                <w:rFonts w:ascii="Times New Roman" w:hAnsi="Times New Roman"/>
                <w:sz w:val="20"/>
              </w:rPr>
            </w:r>
          </w:p>
        </w:tc>
      </w:tr>
    </w:tbl>
    <w:p>
      <w:pPr>
        <w:spacing w:after="80"/>
      </w:pPr>
    </w:p>
    <w:p>
      <w:pPr>
        <w:spacing w:line="240" w:lineRule="auto" w:after="200"/>
        <w:jc w:val="center"/>
      </w:pPr>
      <w:r>
        <w:rPr>
          <w:rFonts w:ascii="Times New Roman" w:hAnsi="Times New Roman"/>
          <w:i/>
          <w:sz w:val="20"/>
        </w:rPr>
        <w:t>Tablo 0.2. Anahtar kelimeler.</w:t>
      </w:r>
    </w:p>
    <w:p>
      <w:r>
        <w:br w:type="page"/>
      </w:r>
    </w:p>
    <w:p>
      <w:pPr>
        <w:pStyle w:val="Heading1"/>
      </w:pPr>
      <w:r>
        <w:t>TEŞEKKÜRLER</w:t>
      </w:r>
    </w:p>
    <w:p>
      <w:pPr>
        <w:ind w:firstLine="709"/>
      </w:pPr>
      <w:r>
        <w:t>Bu çalışmanın hazırlanması sürecinde destek veren herkese teşekkür ederim. Kaynakların erişilebilirliğini sağlayan açık erişim platformları, bu alandaki bilginin yayılmasında belirleyici olmuştur. Ayrıca erken taslak aşamasındaki okuma ve geri bildirimleriyle çalışmaya katkı verenlere teşekkür ederim.</w:t>
      </w:r>
    </w:p>
    <w:p>
      <w:r>
        <w:br w:type="page"/>
      </w:r>
    </w:p>
    <w:p>
      <w:pPr>
        <w:pStyle w:val="Heading1"/>
      </w:pPr>
      <w:r>
        <w:t>İÇİNDEKİLER</w:t>
      </w:r>
    </w:p>
    <w:p>
      <w:pPr>
        <w:tabs>
          <w:tab w:pos="9071" w:val="left"/>
        </w:tabs>
        <w:spacing w:line="240" w:lineRule="auto" w:after="40"/>
      </w:pPr>
      <w:r>
        <w:rPr>
          <w:b/>
          <w:sz w:val="20"/>
        </w:rPr>
        <w:t>ÖZET</w:t>
        <w:tab/>
        <w:t>i</w:t>
      </w:r>
    </w:p>
    <w:p>
      <w:pPr>
        <w:tabs>
          <w:tab w:pos="9071" w:val="left"/>
        </w:tabs>
        <w:spacing w:line="240" w:lineRule="auto" w:after="40"/>
      </w:pPr>
      <w:r>
        <w:rPr>
          <w:b/>
          <w:sz w:val="20"/>
        </w:rPr>
        <w:t>ABSTRACT</w:t>
        <w:tab/>
        <w:t>ii</w:t>
      </w:r>
    </w:p>
    <w:p>
      <w:pPr>
        <w:tabs>
          <w:tab w:pos="9071" w:val="left"/>
        </w:tabs>
        <w:spacing w:line="240" w:lineRule="auto" w:after="40"/>
      </w:pPr>
      <w:r>
        <w:rPr>
          <w:b/>
          <w:sz w:val="20"/>
        </w:rPr>
        <w:t>İÇİNDEKİLER</w:t>
        <w:tab/>
        <w:t>iii</w:t>
      </w:r>
    </w:p>
    <w:p>
      <w:pPr>
        <w:tabs>
          <w:tab w:pos="9071" w:val="left"/>
        </w:tabs>
        <w:spacing w:line="240" w:lineRule="auto" w:after="40"/>
      </w:pPr>
      <w:r>
        <w:rPr>
          <w:b/>
          <w:sz w:val="20"/>
        </w:rPr>
        <w:t>TABLO LİSTESİ</w:t>
        <w:tab/>
        <w:t>iv</w:t>
      </w:r>
    </w:p>
    <w:p>
      <w:pPr>
        <w:tabs>
          <w:tab w:pos="9071" w:val="left"/>
        </w:tabs>
        <w:spacing w:line="240" w:lineRule="auto" w:after="40"/>
      </w:pPr>
      <w:r>
        <w:rPr>
          <w:b/>
          <w:sz w:val="20"/>
        </w:rPr>
        <w:t>ŞEKİL LİSTESİ</w:t>
        <w:tab/>
        <w:t>v</w:t>
      </w:r>
    </w:p>
    <w:p>
      <w:pPr>
        <w:tabs>
          <w:tab w:pos="9071" w:val="left"/>
        </w:tabs>
        <w:spacing w:line="240" w:lineRule="auto" w:after="40"/>
      </w:pPr>
      <w:r>
        <w:rPr>
          <w:b/>
          <w:sz w:val="20"/>
        </w:rPr>
        <w:t>KISALTMALAR LİSTESİ</w:t>
        <w:tab/>
        <w:t>vi</w:t>
      </w:r>
    </w:p>
    <w:p>
      <w:pPr>
        <w:tabs>
          <w:tab w:pos="9071" w:val="left"/>
        </w:tabs>
        <w:spacing w:line="240" w:lineRule="auto" w:after="40"/>
      </w:pPr>
      <w:r>
        <w:rPr>
          <w:b/>
          <w:sz w:val="20"/>
        </w:rPr>
        <w:t>1. GİRİŞ</w:t>
        <w:tab/>
        <w:t>1</w:t>
      </w:r>
    </w:p>
    <w:p>
      <w:pPr>
        <w:tabs>
          <w:tab w:pos="9071" w:val="left"/>
        </w:tabs>
        <w:spacing w:line="240" w:lineRule="auto" w:after="40"/>
      </w:pPr>
      <w:r>
        <w:rPr>
          <w:b w:val="0"/>
          <w:sz w:val="20"/>
        </w:rPr>
        <w:t>1.1. Konunun Önemi ve Kapsamı</w:t>
        <w:tab/>
        <w:t>1</w:t>
      </w:r>
    </w:p>
    <w:p>
      <w:pPr>
        <w:tabs>
          <w:tab w:pos="9071" w:val="left"/>
        </w:tabs>
        <w:spacing w:line="240" w:lineRule="auto" w:after="40"/>
      </w:pPr>
      <w:r>
        <w:rPr>
          <w:b w:val="0"/>
          <w:sz w:val="20"/>
        </w:rPr>
        <w:t>1.2. Problem Durumu</w:t>
        <w:tab/>
        <w:t>2</w:t>
      </w:r>
    </w:p>
    <w:p>
      <w:pPr>
        <w:tabs>
          <w:tab w:pos="9071" w:val="left"/>
        </w:tabs>
        <w:spacing w:line="240" w:lineRule="auto" w:after="40"/>
      </w:pPr>
      <w:r>
        <w:rPr>
          <w:b w:val="0"/>
          <w:sz w:val="20"/>
        </w:rPr>
        <w:t>1.3. Amaç</w:t>
        <w:tab/>
        <w:t>3</w:t>
      </w:r>
    </w:p>
    <w:p>
      <w:pPr>
        <w:tabs>
          <w:tab w:pos="9071" w:val="left"/>
        </w:tabs>
        <w:spacing w:line="240" w:lineRule="auto" w:after="40"/>
      </w:pPr>
      <w:r>
        <w:rPr>
          <w:b w:val="0"/>
          <w:sz w:val="20"/>
        </w:rPr>
        <w:t>1.4. Araştırma Soruları</w:t>
        <w:tab/>
        <w:t>3</w:t>
      </w:r>
    </w:p>
    <w:p>
      <w:pPr>
        <w:tabs>
          <w:tab w:pos="9071" w:val="left"/>
        </w:tabs>
        <w:spacing w:line="240" w:lineRule="auto" w:after="40"/>
      </w:pPr>
      <w:r>
        <w:rPr>
          <w:b w:val="0"/>
          <w:sz w:val="20"/>
        </w:rPr>
        <w:t>1.5. Hipotezler</w:t>
        <w:tab/>
        <w:t>4</w:t>
      </w:r>
    </w:p>
    <w:p>
      <w:pPr>
        <w:tabs>
          <w:tab w:pos="9071" w:val="left"/>
        </w:tabs>
        <w:spacing w:line="240" w:lineRule="auto" w:after="40"/>
      </w:pPr>
      <w:r>
        <w:rPr>
          <w:b w:val="0"/>
          <w:sz w:val="20"/>
        </w:rPr>
        <w:t>1.6. Yöntem</w:t>
        <w:tab/>
        <w:t>5</w:t>
      </w:r>
    </w:p>
    <w:p>
      <w:pPr>
        <w:tabs>
          <w:tab w:pos="9071" w:val="left"/>
        </w:tabs>
        <w:spacing w:line="240" w:lineRule="auto" w:after="40"/>
      </w:pPr>
      <w:r>
        <w:rPr>
          <w:b w:val="0"/>
          <w:sz w:val="20"/>
        </w:rPr>
        <w:t>1.7. Çalışmanın Katkısı</w:t>
        <w:tab/>
        <w:t>6</w:t>
      </w:r>
    </w:p>
    <w:p>
      <w:pPr>
        <w:tabs>
          <w:tab w:pos="9071" w:val="left"/>
        </w:tabs>
        <w:spacing w:line="240" w:lineRule="auto" w:after="40"/>
      </w:pPr>
      <w:r>
        <w:rPr>
          <w:b w:val="0"/>
          <w:sz w:val="20"/>
        </w:rPr>
        <w:t>1.8. Kapsam ve Sınırlar</w:t>
        <w:tab/>
        <w:t>6</w:t>
      </w:r>
    </w:p>
    <w:p>
      <w:pPr>
        <w:tabs>
          <w:tab w:pos="9071" w:val="left"/>
        </w:tabs>
        <w:spacing w:line="240" w:lineRule="auto" w:after="40"/>
      </w:pPr>
      <w:r>
        <w:rPr>
          <w:b/>
          <w:sz w:val="20"/>
        </w:rPr>
        <w:t>2. BEYİN-BİLGİSAYAR ARAYÜZÜ TEKNOLOJİLERİ</w:t>
        <w:tab/>
        <w:t>7</w:t>
      </w:r>
    </w:p>
    <w:p>
      <w:pPr>
        <w:tabs>
          <w:tab w:pos="9071" w:val="left"/>
        </w:tabs>
        <w:spacing w:line="240" w:lineRule="auto" w:after="40"/>
      </w:pPr>
      <w:r>
        <w:rPr>
          <w:b w:val="0"/>
          <w:sz w:val="20"/>
        </w:rPr>
        <w:t>2.1. Tarihsel Gelişim</w:t>
        <w:tab/>
        <w:t>7</w:t>
      </w:r>
    </w:p>
    <w:p>
      <w:pPr>
        <w:tabs>
          <w:tab w:pos="9071" w:val="left"/>
        </w:tabs>
        <w:spacing w:line="240" w:lineRule="auto" w:after="40"/>
      </w:pPr>
      <w:r>
        <w:rPr>
          <w:b w:val="0"/>
          <w:sz w:val="20"/>
        </w:rPr>
        <w:t>2.2. Tanım ve Sınıflandırma</w:t>
        <w:tab/>
        <w:t>9</w:t>
      </w:r>
    </w:p>
    <w:p>
      <w:pPr>
        <w:tabs>
          <w:tab w:pos="9071" w:val="left"/>
        </w:tabs>
        <w:spacing w:line="240" w:lineRule="auto" w:after="40"/>
      </w:pPr>
      <w:r>
        <w:rPr>
          <w:b w:val="0"/>
          <w:sz w:val="20"/>
        </w:rPr>
        <w:t>2.3. Sinyal Alım Yöntemleri</w:t>
        <w:tab/>
        <w:t>11</w:t>
      </w:r>
    </w:p>
    <w:p>
      <w:pPr>
        <w:tabs>
          <w:tab w:pos="9071" w:val="left"/>
        </w:tabs>
        <w:spacing w:line="240" w:lineRule="auto" w:after="40"/>
      </w:pPr>
      <w:r>
        <w:rPr>
          <w:b w:val="0"/>
          <w:sz w:val="20"/>
        </w:rPr>
        <w:t>2.4. Sinyal İşleme Zinciri</w:t>
        <w:tab/>
        <w:t>13</w:t>
      </w:r>
    </w:p>
    <w:p>
      <w:pPr>
        <w:tabs>
          <w:tab w:pos="9071" w:val="left"/>
        </w:tabs>
        <w:spacing w:line="240" w:lineRule="auto" w:after="40"/>
      </w:pPr>
      <w:r>
        <w:rPr>
          <w:b w:val="0"/>
          <w:sz w:val="20"/>
        </w:rPr>
        <w:t>2.5. Evrensel BCI Kavramı</w:t>
        <w:tab/>
        <w:t>15</w:t>
      </w:r>
    </w:p>
    <w:p>
      <w:pPr>
        <w:tabs>
          <w:tab w:pos="9071" w:val="left"/>
        </w:tabs>
        <w:spacing w:line="240" w:lineRule="auto" w:after="40"/>
      </w:pPr>
      <w:r>
        <w:rPr>
          <w:b/>
          <w:sz w:val="20"/>
        </w:rPr>
        <w:t>3. YAPAY ZEKÂ DESTEKLİ NÖRAL SİNYAL İŞLEME</w:t>
        <w:tab/>
        <w:t>17</w:t>
      </w:r>
    </w:p>
    <w:p>
      <w:pPr>
        <w:tabs>
          <w:tab w:pos="9071" w:val="left"/>
        </w:tabs>
        <w:spacing w:line="240" w:lineRule="auto" w:after="40"/>
      </w:pPr>
      <w:r>
        <w:rPr>
          <w:b w:val="0"/>
          <w:sz w:val="20"/>
        </w:rPr>
        <w:t>3.1. Geleneksel Yöntemler ve Temel Sınırları</w:t>
        <w:tab/>
        <w:t>17</w:t>
      </w:r>
    </w:p>
    <w:p>
      <w:pPr>
        <w:tabs>
          <w:tab w:pos="9071" w:val="left"/>
        </w:tabs>
        <w:spacing w:line="240" w:lineRule="auto" w:after="40"/>
      </w:pPr>
      <w:r>
        <w:rPr>
          <w:b w:val="0"/>
          <w:sz w:val="20"/>
        </w:rPr>
        <w:t>3.2. Derin Öğrenme: Mimari Duruş</w:t>
        <w:tab/>
        <w:t>18</w:t>
      </w:r>
    </w:p>
    <w:p>
      <w:pPr>
        <w:tabs>
          <w:tab w:pos="9071" w:val="left"/>
        </w:tabs>
        <w:spacing w:line="240" w:lineRule="auto" w:after="40"/>
      </w:pPr>
      <w:r>
        <w:rPr>
          <w:b w:val="0"/>
          <w:sz w:val="20"/>
        </w:rPr>
        <w:t>3.3. Öğrenme Stratejileri</w:t>
        <w:tab/>
        <w:t>20</w:t>
      </w:r>
    </w:p>
    <w:p>
      <w:pPr>
        <w:tabs>
          <w:tab w:pos="9071" w:val="left"/>
        </w:tabs>
        <w:spacing w:line="240" w:lineRule="auto" w:after="40"/>
      </w:pPr>
      <w:r>
        <w:rPr>
          <w:b w:val="0"/>
          <w:sz w:val="20"/>
        </w:rPr>
        <w:t>3.4. Değerlendirme Sorunları</w:t>
        <w:tab/>
        <w:t>22</w:t>
      </w:r>
    </w:p>
    <w:p>
      <w:pPr>
        <w:tabs>
          <w:tab w:pos="9071" w:val="left"/>
        </w:tabs>
        <w:spacing w:line="240" w:lineRule="auto" w:after="40"/>
      </w:pPr>
      <w:r>
        <w:rPr>
          <w:b w:val="0"/>
          <w:sz w:val="20"/>
        </w:rPr>
        <w:t>3.5. Açıklanabilirlik Sorunu</w:t>
        <w:tab/>
        <w:t>23</w:t>
      </w:r>
    </w:p>
    <w:p>
      <w:pPr>
        <w:tabs>
          <w:tab w:pos="9071" w:val="left"/>
        </w:tabs>
        <w:spacing w:line="240" w:lineRule="auto" w:after="40"/>
      </w:pPr>
      <w:r>
        <w:rPr>
          <w:b w:val="0"/>
          <w:sz w:val="20"/>
        </w:rPr>
        <w:t>3.6. Değerlendirme ve Ara Boşluk</w:t>
        <w:tab/>
        <w:t>25</w:t>
      </w:r>
    </w:p>
    <w:p>
      <w:pPr>
        <w:tabs>
          <w:tab w:pos="9071" w:val="left"/>
        </w:tabs>
        <w:spacing w:line="240" w:lineRule="auto" w:after="40"/>
      </w:pPr>
      <w:r>
        <w:rPr>
          <w:b/>
          <w:sz w:val="20"/>
        </w:rPr>
        <w:t>4. KLİNİK UYGULAMALAR</w:t>
        <w:tab/>
        <w:t>26</w:t>
      </w:r>
    </w:p>
    <w:p>
      <w:pPr>
        <w:tabs>
          <w:tab w:pos="9071" w:val="left"/>
        </w:tabs>
        <w:spacing w:line="240" w:lineRule="auto" w:after="40"/>
      </w:pPr>
      <w:r>
        <w:rPr>
          <w:b w:val="0"/>
          <w:sz w:val="20"/>
        </w:rPr>
        <w:t>4.1. Uygunluk Kriterleri</w:t>
        <w:tab/>
        <w:t>26</w:t>
      </w:r>
    </w:p>
    <w:p>
      <w:pPr>
        <w:tabs>
          <w:tab w:pos="9071" w:val="left"/>
        </w:tabs>
        <w:spacing w:line="240" w:lineRule="auto" w:after="40"/>
      </w:pPr>
      <w:r>
        <w:rPr>
          <w:b w:val="0"/>
          <w:sz w:val="20"/>
        </w:rPr>
        <w:t>4.2. İletişim Kurtarma Sistemleri</w:t>
        <w:tab/>
        <w:t>27</w:t>
      </w:r>
    </w:p>
    <w:p>
      <w:pPr>
        <w:tabs>
          <w:tab w:pos="9071" w:val="left"/>
        </w:tabs>
        <w:spacing w:line="240" w:lineRule="auto" w:after="40"/>
      </w:pPr>
      <w:r>
        <w:rPr>
          <w:b w:val="0"/>
          <w:sz w:val="20"/>
        </w:rPr>
        <w:t>4.3. Hareket Kontrolü ve Rehabilitasyon</w:t>
        <w:tab/>
        <w:t>29</w:t>
      </w:r>
    </w:p>
    <w:p>
      <w:pPr>
        <w:tabs>
          <w:tab w:pos="9071" w:val="left"/>
        </w:tabs>
        <w:spacing w:line="240" w:lineRule="auto" w:after="40"/>
      </w:pPr>
      <w:r>
        <w:rPr>
          <w:b w:val="0"/>
          <w:sz w:val="20"/>
        </w:rPr>
        <w:t>4.4. Nörodejeneratif Hastalıklar</w:t>
        <w:tab/>
        <w:t>30</w:t>
      </w:r>
    </w:p>
    <w:p>
      <w:pPr>
        <w:tabs>
          <w:tab w:pos="9071" w:val="left"/>
        </w:tabs>
        <w:spacing w:line="240" w:lineRule="auto" w:after="40"/>
      </w:pPr>
      <w:r>
        <w:rPr>
          <w:b w:val="0"/>
          <w:sz w:val="20"/>
        </w:rPr>
        <w:t>4.5. Kognitif Yardım ve Sağlıklı Bireyler</w:t>
        <w:tab/>
        <w:t>31</w:t>
      </w:r>
    </w:p>
    <w:p>
      <w:pPr>
        <w:tabs>
          <w:tab w:pos="9071" w:val="left"/>
        </w:tabs>
        <w:spacing w:line="240" w:lineRule="auto" w:after="40"/>
      </w:pPr>
      <w:r>
        <w:rPr>
          <w:b w:val="0"/>
          <w:sz w:val="20"/>
        </w:rPr>
        <w:t>4.6. Performans Değerlendirme Metrikleri</w:t>
        <w:tab/>
        <w:t>32</w:t>
      </w:r>
    </w:p>
    <w:p>
      <w:pPr>
        <w:tabs>
          <w:tab w:pos="9071" w:val="left"/>
        </w:tabs>
        <w:spacing w:line="240" w:lineRule="auto" w:after="40"/>
      </w:pPr>
      <w:r>
        <w:rPr>
          <w:b w:val="0"/>
          <w:sz w:val="20"/>
        </w:rPr>
        <w:t>4.7. Karşılaştırmalı Kanıt Değerlendirmesi</w:t>
        <w:tab/>
        <w:t>33</w:t>
      </w:r>
    </w:p>
    <w:p>
      <w:pPr>
        <w:tabs>
          <w:tab w:pos="9071" w:val="left"/>
        </w:tabs>
        <w:spacing w:line="240" w:lineRule="auto" w:after="40"/>
      </w:pPr>
      <w:r>
        <w:rPr>
          <w:b/>
          <w:sz w:val="20"/>
        </w:rPr>
        <w:t>5. ETİK, HUKUKÎ VE TOPLUMSAL BOYUTLAR</w:t>
        <w:tab/>
        <w:t>34</w:t>
      </w:r>
    </w:p>
    <w:p>
      <w:pPr>
        <w:tabs>
          <w:tab w:pos="9071" w:val="left"/>
        </w:tabs>
        <w:spacing w:line="240" w:lineRule="auto" w:after="40"/>
      </w:pPr>
      <w:r>
        <w:rPr>
          <w:b w:val="0"/>
          <w:sz w:val="20"/>
        </w:rPr>
        <w:t>5.1. Çerçevenin Değişmezleri</w:t>
        <w:tab/>
        <w:t>34</w:t>
      </w:r>
    </w:p>
    <w:p>
      <w:pPr>
        <w:tabs>
          <w:tab w:pos="9071" w:val="left"/>
        </w:tabs>
        <w:spacing w:line="240" w:lineRule="auto" w:after="40"/>
      </w:pPr>
      <w:r>
        <w:rPr>
          <w:b w:val="0"/>
          <w:sz w:val="20"/>
        </w:rPr>
        <w:t>5.2. Veri Gizliliği ve Mülkiyet</w:t>
        <w:tab/>
        <w:t>35</w:t>
      </w:r>
    </w:p>
    <w:p>
      <w:pPr>
        <w:tabs>
          <w:tab w:pos="9071" w:val="left"/>
        </w:tabs>
        <w:spacing w:line="240" w:lineRule="auto" w:after="40"/>
      </w:pPr>
      <w:r>
        <w:rPr>
          <w:b w:val="0"/>
          <w:sz w:val="20"/>
        </w:rPr>
        <w:t>5.3. Nöroözerki</w:t>
        <w:tab/>
        <w:t>37</w:t>
      </w:r>
    </w:p>
    <w:p>
      <w:pPr>
        <w:tabs>
          <w:tab w:pos="9071" w:val="left"/>
        </w:tabs>
        <w:spacing w:line="240" w:lineRule="auto" w:after="40"/>
      </w:pPr>
      <w:r>
        <w:rPr>
          <w:b w:val="0"/>
          <w:sz w:val="20"/>
        </w:rPr>
        <w:t>5.4. Adalet ve Erişilebilirlik</w:t>
        <w:tab/>
        <w:t>38</w:t>
      </w:r>
    </w:p>
    <w:p>
      <w:pPr>
        <w:tabs>
          <w:tab w:pos="9071" w:val="left"/>
        </w:tabs>
        <w:spacing w:line="240" w:lineRule="auto" w:after="40"/>
      </w:pPr>
      <w:r>
        <w:rPr>
          <w:b w:val="0"/>
          <w:sz w:val="20"/>
        </w:rPr>
        <w:t>5.5. Bilişsel Özgürlük</w:t>
        <w:tab/>
        <w:t>39</w:t>
      </w:r>
    </w:p>
    <w:p>
      <w:pPr>
        <w:tabs>
          <w:tab w:pos="9071" w:val="left"/>
        </w:tabs>
        <w:spacing w:line="240" w:lineRule="auto" w:after="40"/>
      </w:pPr>
      <w:r>
        <w:rPr>
          <w:b w:val="0"/>
          <w:sz w:val="20"/>
        </w:rPr>
        <w:t>5.6. Sosyal ve Psikolojik Etkiler</w:t>
        <w:tab/>
        <w:t>40</w:t>
      </w:r>
    </w:p>
    <w:p>
      <w:pPr>
        <w:tabs>
          <w:tab w:pos="9071" w:val="left"/>
        </w:tabs>
        <w:spacing w:line="240" w:lineRule="auto" w:after="40"/>
      </w:pPr>
      <w:r>
        <w:rPr>
          <w:b w:val="0"/>
          <w:sz w:val="20"/>
        </w:rPr>
        <w:t>5.7. Düzenleyici Çerçeve Olarak Öneri</w:t>
        <w:tab/>
        <w:t>41</w:t>
      </w:r>
    </w:p>
    <w:p>
      <w:pPr>
        <w:tabs>
          <w:tab w:pos="9071" w:val="left"/>
        </w:tabs>
        <w:spacing w:line="240" w:lineRule="auto" w:after="40"/>
      </w:pPr>
      <w:r>
        <w:rPr>
          <w:b/>
          <w:sz w:val="20"/>
        </w:rPr>
        <w:t>6. GELECEK PERSPEKTİFLERİ</w:t>
        <w:tab/>
        <w:t>43</w:t>
      </w:r>
    </w:p>
    <w:p>
      <w:pPr>
        <w:tabs>
          <w:tab w:pos="9071" w:val="left"/>
        </w:tabs>
        <w:spacing w:line="240" w:lineRule="auto" w:after="40"/>
      </w:pPr>
      <w:r>
        <w:rPr>
          <w:b w:val="0"/>
          <w:sz w:val="20"/>
        </w:rPr>
        <w:t>6.1. Yaklaşan ve Uzak Alan</w:t>
        <w:tab/>
        <w:t>43</w:t>
      </w:r>
    </w:p>
    <w:p>
      <w:pPr>
        <w:tabs>
          <w:tab w:pos="9071" w:val="left"/>
        </w:tabs>
        <w:spacing w:line="240" w:lineRule="auto" w:after="40"/>
      </w:pPr>
      <w:r>
        <w:rPr>
          <w:b w:val="0"/>
          <w:sz w:val="20"/>
        </w:rPr>
        <w:t>6.2. Öngörülen Teknik Yönelimler</w:t>
        <w:tab/>
        <w:t>44</w:t>
      </w:r>
    </w:p>
    <w:p>
      <w:pPr>
        <w:tabs>
          <w:tab w:pos="9071" w:val="left"/>
        </w:tabs>
        <w:spacing w:line="240" w:lineRule="auto" w:after="40"/>
      </w:pPr>
      <w:r>
        <w:rPr>
          <w:b w:val="0"/>
          <w:sz w:val="20"/>
        </w:rPr>
        <w:t>6.3. Olası Riskler</w:t>
        <w:tab/>
        <w:t>45</w:t>
      </w:r>
    </w:p>
    <w:p>
      <w:pPr>
        <w:tabs>
          <w:tab w:pos="9071" w:val="left"/>
        </w:tabs>
        <w:spacing w:line="240" w:lineRule="auto" w:after="40"/>
      </w:pPr>
      <w:r>
        <w:rPr>
          <w:b w:val="0"/>
          <w:sz w:val="20"/>
        </w:rPr>
        <w:t>6.4. Araştırma Öncelikleri</w:t>
        <w:tab/>
        <w:t>46</w:t>
      </w:r>
    </w:p>
    <w:p>
      <w:pPr>
        <w:tabs>
          <w:tab w:pos="9071" w:val="left"/>
        </w:tabs>
        <w:spacing w:line="240" w:lineRule="auto" w:after="40"/>
      </w:pPr>
      <w:r>
        <w:rPr>
          <w:b/>
          <w:sz w:val="20"/>
        </w:rPr>
        <w:t>SONUÇ</w:t>
        <w:tab/>
        <w:t>47</w:t>
      </w:r>
    </w:p>
    <w:p>
      <w:pPr>
        <w:tabs>
          <w:tab w:pos="9071" w:val="left"/>
        </w:tabs>
        <w:spacing w:line="240" w:lineRule="auto" w:after="40"/>
      </w:pPr>
      <w:r>
        <w:rPr>
          <w:b/>
          <w:sz w:val="20"/>
        </w:rPr>
        <w:t>KAYNAKÇA</w:t>
        <w:tab/>
        <w:t>49</w:t>
      </w:r>
    </w:p>
    <w:p>
      <w:pPr>
        <w:tabs>
          <w:tab w:pos="9071" w:val="left"/>
        </w:tabs>
        <w:spacing w:line="240" w:lineRule="auto" w:after="40"/>
      </w:pPr>
      <w:r>
        <w:rPr>
          <w:b/>
          <w:sz w:val="20"/>
        </w:rPr>
        <w:t>EKLER</w:t>
        <w:tab/>
        <w:t>53</w:t>
      </w:r>
    </w:p>
    <w:p>
      <w:r>
        <w:br w:type="page"/>
      </w:r>
    </w:p>
    <w:p>
      <w:pPr>
        <w:pStyle w:val="Heading1"/>
      </w:pPr>
      <w:r>
        <w:t>BİRİNCİ BÖLÜM</w:t>
      </w:r>
    </w:p>
    <w:p>
      <w:pPr>
        <w:pStyle w:val="Heading1"/>
      </w:pPr>
      <w:r>
        <w:t>GİRİŞ</w:t>
      </w:r>
    </w:p>
    <w:p>
      <w:pPr>
        <w:pStyle w:val="Heading2"/>
      </w:pPr>
      <w:r>
        <w:t>1.1. Konunun Önemi ve Kapsamı</w:t>
      </w:r>
    </w:p>
    <w:p>
      <w:pPr>
        <w:ind w:firstLine="709"/>
      </w:pPr>
      <w:r>
        <w:t>Beyin-bilgisayar arayüzü (brain-computer interface, BCI), canlı bir organizmanın merkezi sinir sistemi ile haricî bir hesaplama birimi arasında doğrudan iletişim kuran sistemler için kullanılan genel terimdir. Bu terim altı ana özelliği tanımlar: (a) iletişim kanalının fiziksel olarak başka bir ortamdan geçmesi, (b) özel bir yönlendirme protokolünün bulunması, (c) çıkarımının başında kullanıcının niyetinin yer alması, (d) çıkarım sonucunun kullanıcıya geri bildirilmesi ve (e) sistemin öğrenme süreci içinde bireysel kullanıcılık özelleştirilmesi. Bu beş özelliğin birlikte bulunması, BCI'yi yalnızca bir girdi-ikti cihazından ayırır ve onu bir duruşum-aktarım sistemi haline getirir.</w:t>
      </w:r>
    </w:p>
    <w:p>
      <w:pPr>
        <w:ind w:firstLine="709"/>
      </w:pPr>
      <w:r>
        <w:t>Konunun önemi üç ayrı katmandan gelir. Birincisi, BCI teknolojileri motor nörodejeneratif hastalıklar ve felc sonrası iletişim kaybı olan bireyler için pratik bir kurtarma aracı sunar. İkincisi, aynı teknolojiler sağlıklı bireylerde bilişsel yardım, dikkat artırma ve rehabilitasyon amacıyla kullanılmaya başlamıştır; bu durum klinik sınırı aşma sorusunu gündeme getirmektedir. Uçuncusu, okunan verinin gerçekten bir düşünce olup olmadığı meselesi, doğasın tanımına ve makine öğrenmesinin sınırlarına dayanan teknik bir sorunun yanında felsefi ve hukukî bir soruna dönüşmektedir.</w:t>
      </w:r>
    </w:p>
    <w:p>
      <w:pPr>
        <w:ind w:firstLine="709"/>
      </w:pPr>
      <w:r>
        <w:t>Bu çalışma konunun dört temel boyutunu birlikte ele alır: nörobilimsel temeller (Bölüm 2), yapay zeka destekli çıkarım yöntemleri (Bölüm 3), klinik uygulamalar (Bölüm 4) ve etik-hukukî sınırlar (Bölüm 5). Bölüm 6 ise gelecek yönelimleri değerlendirir. Yöntem olarak nitel kaynak temelli derleme benimsenmiştir; çalışma yalnızca literatürde kanıtlanmış bulgularla sınırlı kalmakta, özgün ampirik veri üretmemektedir.</w:t>
      </w:r>
    </w:p>
    <w:p>
      <w:pPr>
        <w:pStyle w:val="Heading2"/>
      </w:pPr>
      <w:r>
        <w:t>1.2. Problem Durumu</w:t>
      </w:r>
    </w:p>
    <w:p>
      <w:pPr>
        <w:ind w:firstLine="709"/>
      </w:pPr>
      <w:r>
        <w:t>Kamusal alanda BCI teknolojileri hakkında yaygın iki şey karşılaşmaktadır. Birincisi, teknolojinin düşünce okuma kapasitesine sahip olduğu yönündeki popüler anlatı. Bu anlatı, felc ve nörodejeneratif hastalarda gerçekten var olan hoş bir uygulamayı, sağlıklı bireylerde her türlü zihinsel içeriği işleyebilen bir sistem imajına dönüştürür. İkincisi, teknolojinin klinik geçerliliği konusundaki aşırı iyimserlik. İkincisi, alanda görülen gerçek sınırlamaları görmezden gelir: gözleme yüzeyi yoğunluğu, şartlara bağlı performans, eğitim sürelerinin uzunluğu ve klinik ortam ile laboratuvar arasındaki aktarılabilirlik açığı.</w:t>
      </w:r>
    </w:p>
    <w:p>
      <w:pPr>
        <w:ind w:firstLine="709"/>
      </w:pPr>
      <w:r>
        <w:t>Bu ispatlanmamış iyimserlik, uygulamada iki somut risk doğurur. İlki, hasta ve hasta ailelerinin beklentilerinin gerçekçi olmayan bir seviyeye çekilmesi ve klinik kararların gerçekçi olmayan beklentiler üzerine kurulması. İkincisi, mevzuat ve etik çerçevelerin vaatlerden hareketle değil, fiilî klinik yeteneklerden hareketle tasarlanması. Bu iki risk, konunun yalnızca teknik değil, aynı zamanda yönetimsel ve etik bir problem olduğunu gösterir.</w:t>
      </w:r>
    </w:p>
    <w:p>
      <w:pPr>
        <w:pStyle w:val="Heading2"/>
      </w:pPr>
      <w:r>
        <w:t>1.3. Amaç</w:t>
      </w:r>
    </w:p>
    <w:p>
      <w:pPr>
        <w:ind w:firstLine="709"/>
      </w:pPr>
      <w:r>
        <w:t>Çalışmanın amacı şu döndür:</w:t>
      </w:r>
    </w:p>
    <w:p>
      <w:pPr>
        <w:pStyle w:val="ListBullet"/>
        <w:spacing w:line="360" w:lineRule="auto" w:after="80"/>
        <w:jc w:val="both"/>
      </w:pPr>
      <w:r>
        <w:t>BCI sistemlerinin temel sınıflandırmasını ve sinyal alım yöntemlerinin klinik-özel ilişkilerini ortaya koymak;</w:t>
      </w:r>
    </w:p>
    <w:p>
      <w:pPr>
        <w:pStyle w:val="ListBullet"/>
        <w:spacing w:line="360" w:lineRule="auto" w:after="80"/>
        <w:jc w:val="both"/>
      </w:pPr>
      <w:r>
        <w:t>Modern makine öğrenmesi ve derin öğrenme yöntemlerinin normal sinyal çıkarımına katkısını, elde edilen kazanımlar ve sınırlamalarla birlikte değerlendirmek;</w:t>
      </w:r>
    </w:p>
    <w:p>
      <w:pPr>
        <w:pStyle w:val="ListBullet"/>
        <w:spacing w:line="360" w:lineRule="auto" w:after="80"/>
        <w:jc w:val="both"/>
      </w:pPr>
      <w:r>
        <w:t>BCI'nin klinik uygulamalardaki kanıt temelini ve yararlılık sınırlarını değerlendirmek;</w:t>
      </w:r>
    </w:p>
    <w:p>
      <w:pPr>
        <w:pStyle w:val="ListBullet"/>
        <w:spacing w:line="360" w:lineRule="auto" w:after="80"/>
        <w:jc w:val="both"/>
      </w:pPr>
      <w:r>
        <w:t>Bireysel verinin zihinsel içerik olarak okunması meselesinin etik, hukukî ve toplumsal sonuçlarını analiz etmek.</w:t>
      </w:r>
    </w:p>
    <w:p>
      <w:pPr>
        <w:pStyle w:val="Heading2"/>
      </w:pPr>
      <w:r>
        <w:t>1.4. Araştırma Soruları</w:t>
      </w:r>
    </w:p>
    <w:p>
      <w:pPr>
        <w:ind w:firstLine="709"/>
      </w:pPr>
      <w:r>
        <w:t>Çalışma şu araştırma sorularını yanıtlamaya çalışır:</w:t>
      </w:r>
    </w:p>
    <w:p>
      <w:pPr>
        <w:pStyle w:val="ListBullet"/>
        <w:spacing w:line="360" w:lineRule="auto" w:after="80"/>
        <w:jc w:val="both"/>
      </w:pPr>
      <w:r>
        <w:t>RQ-001. Yapay zeka destekli sinyal işleme, BCI tabanlı sınıflandırma sistemlerinde geleneksel yöntemlere göre ne ölçüde doğruluk ve dayanıklılık kazancı sağlamaktadır?</w:t>
      </w:r>
    </w:p>
    <w:p>
      <w:pPr>
        <w:pStyle w:val="ListBullet"/>
        <w:spacing w:line="360" w:lineRule="auto" w:after="80"/>
        <w:jc w:val="both"/>
      </w:pPr>
      <w:r>
        <w:t>RQ-002. EEG tabanlı girişimsiz BCI sistemlerinin klinik uygulamalardaki gerçek başarı oranları ve başarısı sınırlayan etkenler nelerdir?</w:t>
      </w:r>
    </w:p>
    <w:p>
      <w:pPr>
        <w:pStyle w:val="ListBullet"/>
        <w:spacing w:line="360" w:lineRule="auto" w:after="80"/>
        <w:jc w:val="both"/>
      </w:pPr>
      <w:r>
        <w:t>RQ-003. Sağlıklı bireylerde kognitif yardım amaçlı BCI uygulamaları, hasta grubundaki klinik uygulamalardan hangi yönlerle ayrılır ve ayrılmaktadır?</w:t>
      </w:r>
    </w:p>
    <w:p>
      <w:pPr>
        <w:pStyle w:val="ListBullet"/>
        <w:spacing w:line="360" w:lineRule="auto" w:after="80"/>
        <w:jc w:val="both"/>
      </w:pPr>
      <w:r>
        <w:t>RQ-004. Nöroveri meselesi, veri sahipliği ve erişim denetimi bakımından mevcut hukukî ve etik çerçeveler BCI'ye ne ölçüde uyumludur?</w:t>
      </w:r>
    </w:p>
    <w:p>
      <w:pPr>
        <w:pStyle w:val="Heading2"/>
      </w:pPr>
      <w:r>
        <w:t>1.5. Hipotezler</w:t>
      </w:r>
    </w:p>
    <w:p>
      <w:pPr>
        <w:ind w:firstLine="709"/>
      </w:pPr>
      <w:r>
        <w:t>Bu çalışma nicel bir ampirik araştırma olmadığı için deneysel hipotez testi yapılmaz. Bunun yerine literatürde gözlenen ve birbirleriyle yarışan iddialar, inceleme hipotezi (H) olarak aşağıda ifade edilir; her biri inceleme bölümünde kanıtla karşılaştırılır.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No</w:t>
            </w:r>
          </w:p>
        </w:tc>
        <w:tc>
          <w:tcPr>
            <w:tcW w:type="dxa" w:w="3024"/>
            <w:shd w:val="clear" w:color="auto" w:fill="D9D9D9"/>
          </w:tcPr>
          <w:p>
            <w:pPr>
              <w:spacing w:line="240" w:lineRule="auto" w:after="40"/>
              <w:jc w:val="center"/>
            </w:pPr>
            <w:r/>
            <w:r>
              <w:rPr>
                <w:rFonts w:ascii="Times New Roman" w:hAnsi="Times New Roman"/>
                <w:b/>
                <w:sz w:val="20"/>
              </w:rPr>
              <w:t>İnceleme Hipotezi</w:t>
            </w:r>
          </w:p>
        </w:tc>
        <w:tc>
          <w:tcPr>
            <w:tcW w:type="dxa" w:w="3024"/>
            <w:shd w:val="clear" w:color="auto" w:fill="D9D9D9"/>
          </w:tcPr>
          <w:p>
            <w:pPr>
              <w:spacing w:line="240" w:lineRule="auto" w:after="40"/>
              <w:jc w:val="center"/>
            </w:pPr>
            <w:r/>
            <w:r>
              <w:rPr>
                <w:rFonts w:ascii="Times New Roman" w:hAnsi="Times New Roman"/>
                <w:b/>
                <w:sz w:val="20"/>
              </w:rPr>
              <w:t>Yönelim</w:t>
            </w:r>
          </w:p>
        </w:tc>
      </w:tr>
      <w:tr>
        <w:tc>
          <w:tcPr>
            <w:tcW w:type="dxa" w:w="3024"/>
          </w:tcPr>
          <w:p>
            <w:pPr>
              <w:spacing w:line="240" w:lineRule="auto" w:after="40"/>
              <w:jc w:val="left"/>
            </w:pPr>
            <w:r/>
            <w:r>
              <w:rPr>
                <w:rFonts w:ascii="Times New Roman" w:hAnsi="Times New Roman"/>
                <w:sz w:val="20"/>
              </w:rPr>
              <w:t>H-1</w:t>
            </w:r>
          </w:p>
        </w:tc>
        <w:tc>
          <w:tcPr>
            <w:tcW w:type="dxa" w:w="3024"/>
          </w:tcPr>
          <w:p>
            <w:pPr>
              <w:spacing w:line="240" w:lineRule="auto" w:after="40"/>
              <w:jc w:val="left"/>
            </w:pPr>
            <w:r/>
            <w:r>
              <w:rPr>
                <w:rFonts w:ascii="Times New Roman" w:hAnsi="Times New Roman"/>
                <w:sz w:val="20"/>
              </w:rPr>
              <w:t>Derin öğrenme, geleneksel sınıflandırıcı kombinasyonları üzerinde ölçülü bir doğruluk kazancı sağlar; ancak bu kazanc klinik uygulamaya taşınabilir değildir.</w:t>
            </w:r>
          </w:p>
        </w:tc>
        <w:tc>
          <w:tcPr>
            <w:tcW w:type="dxa" w:w="3024"/>
          </w:tcPr>
          <w:p>
            <w:pPr>
              <w:spacing w:line="240" w:lineRule="auto" w:after="40"/>
              <w:jc w:val="left"/>
            </w:pPr>
            <w:r/>
            <w:r>
              <w:rPr>
                <w:rFonts w:ascii="Times New Roman" w:hAnsi="Times New Roman"/>
                <w:sz w:val="20"/>
              </w:rPr>
              <w:t>Kısmen desteklenir</w:t>
            </w:r>
          </w:p>
        </w:tc>
      </w:tr>
      <w:tr>
        <w:tc>
          <w:tcPr>
            <w:tcW w:type="dxa" w:w="3024"/>
          </w:tcPr>
          <w:p>
            <w:pPr>
              <w:spacing w:line="240" w:lineRule="auto" w:after="40"/>
              <w:jc w:val="left"/>
            </w:pPr>
            <w:r/>
            <w:r>
              <w:rPr>
                <w:rFonts w:ascii="Times New Roman" w:hAnsi="Times New Roman"/>
                <w:sz w:val="20"/>
              </w:rPr>
              <w:t>H-2</w:t>
            </w:r>
          </w:p>
        </w:tc>
        <w:tc>
          <w:tcPr>
            <w:tcW w:type="dxa" w:w="3024"/>
          </w:tcPr>
          <w:p>
            <w:pPr>
              <w:spacing w:line="240" w:lineRule="auto" w:after="40"/>
              <w:jc w:val="left"/>
            </w:pPr>
            <w:r/>
            <w:r>
              <w:rPr>
                <w:rFonts w:ascii="Times New Roman" w:hAnsi="Times New Roman"/>
                <w:sz w:val="20"/>
              </w:rPr>
              <w:t>Başarılı BCI uygulamalarının ortak özelliği, sinyal kalitesinden çok kullanıcı deneyimi ve öğretim sürelerinin uzunluğudur.</w:t>
            </w:r>
          </w:p>
        </w:tc>
        <w:tc>
          <w:tcPr>
            <w:tcW w:type="dxa" w:w="3024"/>
          </w:tcPr>
          <w:p>
            <w:pPr>
              <w:spacing w:line="240" w:lineRule="auto" w:after="40"/>
              <w:jc w:val="left"/>
            </w:pPr>
            <w:r/>
            <w:r>
              <w:rPr>
                <w:rFonts w:ascii="Times New Roman" w:hAnsi="Times New Roman"/>
                <w:sz w:val="20"/>
              </w:rPr>
              <w:t>Desteklenir</w:t>
            </w:r>
          </w:p>
        </w:tc>
      </w:tr>
      <w:tr>
        <w:tc>
          <w:tcPr>
            <w:tcW w:type="dxa" w:w="3024"/>
          </w:tcPr>
          <w:p>
            <w:pPr>
              <w:spacing w:line="240" w:lineRule="auto" w:after="40"/>
              <w:jc w:val="left"/>
            </w:pPr>
            <w:r/>
            <w:r>
              <w:rPr>
                <w:rFonts w:ascii="Times New Roman" w:hAnsi="Times New Roman"/>
                <w:sz w:val="20"/>
              </w:rPr>
              <w:t>H-3</w:t>
            </w:r>
          </w:p>
        </w:tc>
        <w:tc>
          <w:tcPr>
            <w:tcW w:type="dxa" w:w="3024"/>
          </w:tcPr>
          <w:p>
            <w:pPr>
              <w:spacing w:line="240" w:lineRule="auto" w:after="40"/>
              <w:jc w:val="left"/>
            </w:pPr>
            <w:r/>
            <w:r>
              <w:rPr>
                <w:rFonts w:ascii="Times New Roman" w:hAnsi="Times New Roman"/>
                <w:sz w:val="20"/>
              </w:rPr>
              <w:t>Etik ve hukukî tartışma, veri gizliliği çerçevesinde toplanırken asıl gerilimi zihinsel özgürlüğü ilgilendirir.</w:t>
            </w:r>
          </w:p>
        </w:tc>
        <w:tc>
          <w:tcPr>
            <w:tcW w:type="dxa" w:w="3024"/>
          </w:tcPr>
          <w:p>
            <w:pPr>
              <w:spacing w:line="240" w:lineRule="auto" w:after="40"/>
              <w:jc w:val="left"/>
            </w:pPr>
            <w:r/>
            <w:r>
              <w:rPr>
                <w:rFonts w:ascii="Times New Roman" w:hAnsi="Times New Roman"/>
                <w:sz w:val="20"/>
              </w:rPr>
              <w:t>Desteklenir</w:t>
            </w:r>
          </w:p>
        </w:tc>
      </w:tr>
    </w:tbl>
    <w:p>
      <w:pPr>
        <w:spacing w:after="80"/>
      </w:pPr>
    </w:p>
    <w:p>
      <w:pPr>
        <w:spacing w:line="240" w:lineRule="auto" w:after="200"/>
        <w:jc w:val="center"/>
      </w:pPr>
      <w:r>
        <w:rPr>
          <w:rFonts w:ascii="Times New Roman" w:hAnsi="Times New Roman"/>
          <w:i/>
          <w:sz w:val="20"/>
        </w:rPr>
        <w:t>Tablo 1.1. İnceleme hipotezleri ve değerlendirme yönelimi.</w:t>
      </w:r>
    </w:p>
    <w:p>
      <w:pPr>
        <w:pStyle w:val="Heading2"/>
      </w:pPr>
      <w:r>
        <w:t>1.6. Yöntem</w:t>
      </w:r>
    </w:p>
    <w:p>
      <w:pPr>
        <w:ind w:firstLine="709"/>
      </w:pPr>
      <w:r>
        <w:t>Çalışma nitel kaynak temelli derleme (narrative literature review) yöntemiyle yürütülmüştür. Yöntem iki aşamalı ve açıkça sınırlı bırakılmıştır. Birinci aşamada veri tabanları (Crossref, OpenAlex) üzerinden taranmış arama protokolü kaydı oluşturulmuş ve dâhil etme-dışlama etme kriterleri uygulanmıştır. İkinci aşamada kaynakça girdileri araç tarafından doğrulanmıştır: 37 kaynağın 13'u Crossref ve OpenAlex arasında iki bağımsız kaynakla eşleşme eşiğini geçmiş, kalan 24 kaynak doğrulanmamış ve kaynakçada DOI'siz bırakılmıştır. Doğrulama sırasında aracın beş kusuru tespit edilip düzeltilmiştir; ayrıntılı kayıt ve düzeltme sonrası ölçümler EK-2'de verilmiştir.</w:t>
      </w:r>
    </w:p>
    <w:p>
      <w:pPr>
        <w:ind w:firstLine="709"/>
      </w:pPr>
      <w:r>
        <w:t>Yöntemin sınırları açıkça belirtilmelidir. Birincisi, çalışma yalnızca açık erişime sahip İngilizce ve Türkçe literatürle sınırlıdır; konu alanı geniş olduğundan bu bir eksikliktir. İkincisi, incelenen çalışmalarda yayınlanma yanlılığı (olumlu sonuç gösteren çalışmaların daha fazla yayınlanması) kontrol edilememiştir. Üçüncüsü, BCI alanındaki teknik ilerleme hızlı olduğundan bazı tespitlerin çalışma tarihî itibarıyla geçmiş olabilir.</w:t>
      </w:r>
    </w:p>
    <w:p>
      <w:pPr>
        <w:pStyle w:val="Heading2"/>
      </w:pPr>
      <w:r>
        <w:t>1.7. Çalışmanın Katkısı</w:t>
      </w:r>
    </w:p>
    <w:p>
      <w:pPr>
        <w:ind w:firstLine="709"/>
      </w:pPr>
      <w:r>
        <w:t>Çalışmanın beklenen katkısı şudur: teknik yetenek sınırları ile etik-hukukî beklentiler arasındaki boşluğu tek bir çerçevede göstermek; BCI uygulamaları için acele karar vermeyi engelleyen bir karar çerçevesi sunmak; ve zihinsel veri koruması için somut bir politika çerçevesi önerisi geliştirmek. Çalışma özgün ampirik veri üretmez ve klinik karar yerine geçmez.</w:t>
      </w:r>
    </w:p>
    <w:p>
      <w:pPr>
        <w:pStyle w:val="Heading2"/>
      </w:pPr>
      <w:r>
        <w:t>1.8. Kapsam ve Sınırlar</w:t>
      </w:r>
    </w:p>
    <w:p>
      <w:pPr>
        <w:ind w:firstLine="709"/>
      </w:pPr>
      <w:r>
        <w:t>Çalışma invaziv sistemleri yalnızca ilke düzeyde ele alır; cerrahi detay ve klinik protokol bilgisi dışarıda bırakılmıştır. Elektriksel beyin aktivitesi odaklı alınmıştır; MEG ve fNIRS yöntemleri yalnızca karşılaştırma amacıyla geçmektedir. Sağlıklı bireylerde uygulanan ticari ürünler yalnızca risk analizi çerçevesinde ele alınmıştır; belirli bir ürün için yazılım tanıtımı veya kullanılabilirlik değerlendirmesi yapılmamıştır.</w:t>
      </w:r>
    </w:p>
    <w:p>
      <w:r>
        <w:br w:type="page"/>
      </w:r>
    </w:p>
    <w:p>
      <w:pPr>
        <w:pStyle w:val="Heading1"/>
      </w:pPr>
      <w:r>
        <w:t>İKİNCİ BÖLÜM</w:t>
      </w:r>
    </w:p>
    <w:p>
      <w:pPr>
        <w:pStyle w:val="Heading1"/>
      </w:pPr>
      <w:r>
        <w:t>BEYİN-BİLGİSAYAR ARAYÜZÜ TEKNOLOJİLERİ</w:t>
      </w:r>
    </w:p>
    <w:p>
      <w:pPr>
        <w:pStyle w:val="Heading2"/>
      </w:pPr>
      <w:r>
        <w:t>2.1. Tarihsel Gelişim</w:t>
      </w:r>
    </w:p>
    <w:p>
      <w:pPr>
        <w:ind w:firstLine="709"/>
      </w:pPr>
      <w:r>
        <w:t>BCI düşüncesinin doğrudan deneysel kökleri 1920'lere dayanır. Hans Berger, insan elektroensefalografisini (EEG) kaydeden ilk sistemi geliştirdi ve çalışmaları, beyin aktivitesinin kaydedilip analiz edilebileceğini gösterdi. Berger'in kayıtları 1924'te bir insan uyaranlara bağlı olarak belirgin bir elektriksel cevap ürettiğini ortaya koydu. 1930'larda Edgar Adrian ve GVL Baseline okuma, normal ritmin bir ölçüm aracı değil, beynin uyanıklık durumunu yansıtan bir fizyolojik süreç olduğunu göstererek EEG'nin işlevsel yorumunu başlattı.</w:t>
      </w:r>
    </w:p>
    <w:p>
      <w:pPr>
        <w:ind w:firstLine="709"/>
      </w:pPr>
      <w:r>
        <w:t>Bilgisayar teknolojisinin devreye girdiği dönem 1970'lerdir. Jacques Vidal'in 1973 tarihli çalışması, bir insanın komut sinyali olarak kullanılabilecek sinirsel bir dalga formu tespit etmesi ve bu dalgadan hareketle bir bilgisayar imlecinin yönlendirilebileceğini göstermesiyle alanın kurucu metni kabul edilir. Vidal'in bulgusu bugünkü BCI sistemlerinin temiş ettiği iki temel varsayımı — çıkarım bir sınıflandırma problemidir ve öğrenme kullanıcıya göre uyarlanabilir — birlikte kurmuştur.</w:t>
      </w:r>
    </w:p>
    <w:p>
      <w:pPr>
        <w:ind w:firstLine="709"/>
      </w:pPr>
      <w:r>
        <w:t>1990'larda bir başka kilometre taşı aydınlatıldı: beyin bir bilgisayara komut gönderen bir çevre değil, ortamdan bağımsız bir tuş olarak kullanılabilir. Nierenberg ve colleagues'in P300 tabanlı yazım sistemi, katılımcı kullanıcıya belirli harflerin zihinsel olarak vurgulanmasını (oddball paradigm) ve uyaranla eşleşen bir zihinsel ölçüme bağlı olarak harfi seçmesini mümkün kıldı. Bu çalışma, beyin-bilgisayar iletişimin 'okuma' değil, 'öğrenme' problemi olduğunu göstererek sonraki iki dekadın yol haritasını belirledi.</w:t>
      </w:r>
    </w:p>
    <w:p>
      <w:pPr>
        <w:ind w:firstLine="709"/>
      </w:pPr>
      <w:r>
        <w:t>2000'li yıllarda alan kurumsallaşti. 2002'de Wolpaw ve arkadaşları BCI sistemlerini sınıflandıran ve alanın ortak dilini belirleyen bir çerçeve yayımladı. Aynı dönemde klinik uygulamalar doğrulandı: BrainGate ekibi felc hastalarında istenen hareketin sinirsel öncüsünü tespit ederek robotik kolu kontrol etmeyi başardı. Üç boyutlu baskılar arayan ve hedefi sıfırlanan geri besleme araçlarının geliştirilmesi, BCI'yi laboratuvar nesnesi olmaktan çıkarıp kullanıcı odaklı bir asistif teknoloji haline dönüştürdü.</w:t>
      </w:r>
    </w:p>
    <w:p>
      <w:pPr>
        <w:ind w:firstLine="709"/>
      </w:pPr>
      <w:r>
        <w:t>2010'lardan itibaren iki belirgin yönelim birlikte ilerledi. Birincisi, derin öğrenmenin devreye girmesiyle sınıflandırma performansındaki artıştırır. İkincisi, gözleme taşınabilir (portable) sistemlerin yaygınlaşması ve tüketici elektro-nörolojisi (consumer neurotechnology) kavramının doğması. 2019'daki bir derleme, özellikle invaziv görüntü motoru yorumlama çalışmalarında tek katılımlı derin mimarilerin çok katmanlı modelleri geçtiğini ve birçok çalışmada karşılaştırma metodolojisinin zayıf kaldığını bildirmiştir. 2020'li yıllar ise alanın metodolojik olgunlaşmasıyla nispeten ayırt edilebilir: onaylı çalışma tasarımı, raporlanma standartları ve klinik kanıt toplama gereklilikleri konusunda belirgin bir farkındalık oluşmuştur.</w:t>
      </w:r>
    </w:p>
    <w:p>
      <w:pPr>
        <w:pStyle w:val="Heading2"/>
      </w:pPr>
      <w:r>
        <w:t>2.2. Tanım ve Sınıflandırma</w:t>
      </w:r>
    </w:p>
    <w:p>
      <w:pPr>
        <w:pStyle w:val="Heading2"/>
      </w:pPr>
      <w:r>
        <w:t>2.2.1. BCI Teknolojisi Nedir?</w:t>
      </w:r>
    </w:p>
    <w:p>
      <w:pPr>
        <w:ind w:firstLine="709"/>
      </w:pPr>
      <w:r>
        <w:t>Bir BCI sistemi, merkezi sinir sistemi ile haricî bir sistem arasındaki iletişimi, biyolojik olmayan bir çıktı ve girdi yoluyla sağlayan sistemdir. Bu tanım, yalnızca 'beyin okuyan' cihazları kapsamaz; tersine, cihazın beyne geri bildirim gönderdiği çift yönlü sistemleri de kapsar. Geri bildirim döngüsü bir BCI'yi pasif bir kaydediciden ayıran temel özelliktir: kullanıcı, sistemin çıkarımını görerek kendi çıktısını ayarlar ve sistem bu ayarlamaya göre güncellenir.</w:t>
      </w:r>
    </w:p>
    <w:p>
      <w:pPr>
        <w:ind w:firstLine="709"/>
      </w:pPr>
      <w:r>
        <w:t>Sınıflandırmada iki kriter kullanılır. Birincisi, örnekleme yöntemidir. İnvaziv sistemler elektrotları doğrudan korteks veya korteks yüzeyine yerleştirir; girişimsiz sistemler elektrotları kafa derisinden dışarıda tutar. İkincisi, geri bildirimin doğasıdır: geri besleme (kullanıcı kendi motor çıktısını görür) veya geri beslemesiz (yalnızca bilgi döndürülür) sistemler. Bu iki kriter birlikte dörtlü bir sınıflandırma üretir.</w:t>
      </w:r>
    </w:p>
    <w:p>
      <w:pPr>
        <w:pStyle w:val="Heading2"/>
      </w:pPr>
      <w:r>
        <w:t>2.2.2. Sınıflandırma Tablosu</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D9D9"/>
          </w:tcPr>
          <w:p>
            <w:pPr>
              <w:spacing w:line="240" w:lineRule="auto" w:after="40"/>
              <w:jc w:val="center"/>
            </w:pPr>
            <w:r/>
            <w:r>
              <w:rPr>
                <w:rFonts w:ascii="Times New Roman" w:hAnsi="Times New Roman"/>
                <w:b/>
                <w:sz w:val="20"/>
              </w:rPr>
              <w:t>Sınıf</w:t>
            </w:r>
          </w:p>
        </w:tc>
        <w:tc>
          <w:tcPr>
            <w:tcW w:type="dxa" w:w="1814"/>
            <w:shd w:val="clear" w:color="auto" w:fill="D9D9D9"/>
          </w:tcPr>
          <w:p>
            <w:pPr>
              <w:spacing w:line="240" w:lineRule="auto" w:after="40"/>
              <w:jc w:val="center"/>
            </w:pPr>
            <w:r/>
            <w:r>
              <w:rPr>
                <w:rFonts w:ascii="Times New Roman" w:hAnsi="Times New Roman"/>
                <w:b/>
                <w:sz w:val="20"/>
              </w:rPr>
              <w:t>Örnekleme</w:t>
            </w:r>
          </w:p>
        </w:tc>
        <w:tc>
          <w:tcPr>
            <w:tcW w:type="dxa" w:w="1814"/>
            <w:shd w:val="clear" w:color="auto" w:fill="D9D9D9"/>
          </w:tcPr>
          <w:p>
            <w:pPr>
              <w:spacing w:line="240" w:lineRule="auto" w:after="40"/>
              <w:jc w:val="center"/>
            </w:pPr>
            <w:r/>
            <w:r>
              <w:rPr>
                <w:rFonts w:ascii="Times New Roman" w:hAnsi="Times New Roman"/>
                <w:b/>
                <w:sz w:val="20"/>
              </w:rPr>
              <w:t>Geri Bildirim</w:t>
            </w:r>
          </w:p>
        </w:tc>
        <w:tc>
          <w:tcPr>
            <w:tcW w:type="dxa" w:w="1814"/>
            <w:shd w:val="clear" w:color="auto" w:fill="D9D9D9"/>
          </w:tcPr>
          <w:p>
            <w:pPr>
              <w:spacing w:line="240" w:lineRule="auto" w:after="40"/>
              <w:jc w:val="center"/>
            </w:pPr>
            <w:r/>
            <w:r>
              <w:rPr>
                <w:rFonts w:ascii="Times New Roman" w:hAnsi="Times New Roman"/>
                <w:b/>
                <w:sz w:val="20"/>
              </w:rPr>
              <w:t>Güçlü Yönü</w:t>
            </w:r>
          </w:p>
        </w:tc>
        <w:tc>
          <w:tcPr>
            <w:tcW w:type="dxa" w:w="1814"/>
            <w:shd w:val="clear" w:color="auto" w:fill="D9D9D9"/>
          </w:tcPr>
          <w:p>
            <w:pPr>
              <w:spacing w:line="240" w:lineRule="auto" w:after="40"/>
              <w:jc w:val="center"/>
            </w:pPr>
            <w:r/>
            <w:r>
              <w:rPr>
                <w:rFonts w:ascii="Times New Roman" w:hAnsi="Times New Roman"/>
                <w:b/>
                <w:sz w:val="20"/>
              </w:rPr>
              <w:t>Zayıf Yönü</w:t>
            </w:r>
          </w:p>
        </w:tc>
      </w:tr>
      <w:tr>
        <w:tc>
          <w:tcPr>
            <w:tcW w:type="dxa" w:w="1814"/>
          </w:tcPr>
          <w:p>
            <w:pPr>
              <w:spacing w:line="240" w:lineRule="auto" w:after="40"/>
              <w:jc w:val="left"/>
            </w:pPr>
            <w:r/>
            <w:r>
              <w:rPr>
                <w:rFonts w:ascii="Times New Roman" w:hAnsi="Times New Roman"/>
                <w:sz w:val="20"/>
              </w:rPr>
              <w:t>İnvaziv (implant)</w:t>
            </w:r>
          </w:p>
        </w:tc>
        <w:tc>
          <w:tcPr>
            <w:tcW w:type="dxa" w:w="1814"/>
          </w:tcPr>
          <w:p>
            <w:pPr>
              <w:spacing w:line="240" w:lineRule="auto" w:after="40"/>
              <w:jc w:val="left"/>
            </w:pPr>
            <w:r/>
            <w:r>
              <w:rPr>
                <w:rFonts w:ascii="Times New Roman" w:hAnsi="Times New Roman"/>
                <w:sz w:val="20"/>
              </w:rPr>
              <w:t>Korteks / korteks yüzeyi</w:t>
            </w:r>
          </w:p>
        </w:tc>
        <w:tc>
          <w:tcPr>
            <w:tcW w:type="dxa" w:w="1814"/>
          </w:tcPr>
          <w:p>
            <w:pPr>
              <w:spacing w:line="240" w:lineRule="auto" w:after="40"/>
              <w:jc w:val="left"/>
            </w:pPr>
            <w:r/>
            <w:r>
              <w:rPr>
                <w:rFonts w:ascii="Times New Roman" w:hAnsi="Times New Roman"/>
                <w:sz w:val="20"/>
              </w:rPr>
              <w:t>Hareket geri besleme</w:t>
            </w:r>
          </w:p>
        </w:tc>
        <w:tc>
          <w:tcPr>
            <w:tcW w:type="dxa" w:w="1814"/>
          </w:tcPr>
          <w:p>
            <w:pPr>
              <w:spacing w:line="240" w:lineRule="auto" w:after="40"/>
              <w:jc w:val="left"/>
            </w:pPr>
            <w:r/>
            <w:r>
              <w:rPr>
                <w:rFonts w:ascii="Times New Roman" w:hAnsi="Times New Roman"/>
                <w:sz w:val="20"/>
              </w:rPr>
              <w:t>Yüksek sinyal-gürültü oranı</w:t>
            </w:r>
          </w:p>
        </w:tc>
        <w:tc>
          <w:tcPr>
            <w:tcW w:type="dxa" w:w="1814"/>
          </w:tcPr>
          <w:p>
            <w:pPr>
              <w:spacing w:line="240" w:lineRule="auto" w:after="40"/>
              <w:jc w:val="left"/>
            </w:pPr>
            <w:r/>
            <w:r>
              <w:rPr>
                <w:rFonts w:ascii="Times New Roman" w:hAnsi="Times New Roman"/>
                <w:sz w:val="20"/>
              </w:rPr>
              <w:t>Cerrahi risk, uzunsüreli kabul sorunu</w:t>
            </w:r>
          </w:p>
        </w:tc>
      </w:tr>
      <w:tr>
        <w:tc>
          <w:tcPr>
            <w:tcW w:type="dxa" w:w="1814"/>
          </w:tcPr>
          <w:p>
            <w:pPr>
              <w:spacing w:line="240" w:lineRule="auto" w:after="40"/>
              <w:jc w:val="left"/>
            </w:pPr>
            <w:r/>
            <w:r>
              <w:rPr>
                <w:rFonts w:ascii="Times New Roman" w:hAnsi="Times New Roman"/>
                <w:sz w:val="20"/>
              </w:rPr>
              <w:t>Yarı invaziv</w:t>
            </w:r>
          </w:p>
        </w:tc>
        <w:tc>
          <w:tcPr>
            <w:tcW w:type="dxa" w:w="1814"/>
          </w:tcPr>
          <w:p>
            <w:pPr>
              <w:spacing w:line="240" w:lineRule="auto" w:after="40"/>
              <w:jc w:val="left"/>
            </w:pPr>
            <w:r/>
            <w:r>
              <w:rPr>
                <w:rFonts w:ascii="Times New Roman" w:hAnsi="Times New Roman"/>
                <w:sz w:val="20"/>
              </w:rPr>
              <w:t>Korteks üzeri elektrot (ECoG)</w:t>
            </w:r>
          </w:p>
        </w:tc>
        <w:tc>
          <w:tcPr>
            <w:tcW w:type="dxa" w:w="1814"/>
          </w:tcPr>
          <w:p>
            <w:pPr>
              <w:spacing w:line="240" w:lineRule="auto" w:after="40"/>
              <w:jc w:val="left"/>
            </w:pPr>
            <w:r/>
            <w:r>
              <w:rPr>
                <w:rFonts w:ascii="Times New Roman" w:hAnsi="Times New Roman"/>
                <w:sz w:val="20"/>
              </w:rPr>
              <w:t>Hareket geri besleme</w:t>
            </w:r>
          </w:p>
        </w:tc>
        <w:tc>
          <w:tcPr>
            <w:tcW w:type="dxa" w:w="1814"/>
          </w:tcPr>
          <w:p>
            <w:pPr>
              <w:spacing w:line="240" w:lineRule="auto" w:after="40"/>
              <w:jc w:val="left"/>
            </w:pPr>
            <w:r/>
            <w:r>
              <w:rPr>
                <w:rFonts w:ascii="Times New Roman" w:hAnsi="Times New Roman"/>
                <w:sz w:val="20"/>
              </w:rPr>
              <w:t>Yüksek çözünürlük, görüntü hareketi</w:t>
            </w:r>
          </w:p>
        </w:tc>
        <w:tc>
          <w:tcPr>
            <w:tcW w:type="dxa" w:w="1814"/>
          </w:tcPr>
          <w:p>
            <w:pPr>
              <w:spacing w:line="240" w:lineRule="auto" w:after="40"/>
              <w:jc w:val="left"/>
            </w:pPr>
            <w:r/>
            <w:r>
              <w:rPr>
                <w:rFonts w:ascii="Times New Roman" w:hAnsi="Times New Roman"/>
                <w:sz w:val="20"/>
              </w:rPr>
              <w:t>Cerrahi gerektirir, sınırlı süre</w:t>
            </w:r>
          </w:p>
        </w:tc>
      </w:tr>
      <w:tr>
        <w:tc>
          <w:tcPr>
            <w:tcW w:type="dxa" w:w="1814"/>
          </w:tcPr>
          <w:p>
            <w:pPr>
              <w:spacing w:line="240" w:lineRule="auto" w:after="40"/>
              <w:jc w:val="left"/>
            </w:pPr>
            <w:r/>
            <w:r>
              <w:rPr>
                <w:rFonts w:ascii="Times New Roman" w:hAnsi="Times New Roman"/>
                <w:sz w:val="20"/>
              </w:rPr>
              <w:t>Girişimsiz (EEG)</w:t>
            </w:r>
          </w:p>
        </w:tc>
        <w:tc>
          <w:tcPr>
            <w:tcW w:type="dxa" w:w="1814"/>
          </w:tcPr>
          <w:p>
            <w:pPr>
              <w:spacing w:line="240" w:lineRule="auto" w:after="40"/>
              <w:jc w:val="left"/>
            </w:pPr>
            <w:r/>
            <w:r>
              <w:rPr>
                <w:rFonts w:ascii="Times New Roman" w:hAnsi="Times New Roman"/>
                <w:sz w:val="20"/>
              </w:rPr>
              <w:t>Kafa derisi dışı</w:t>
            </w:r>
          </w:p>
        </w:tc>
        <w:tc>
          <w:tcPr>
            <w:tcW w:type="dxa" w:w="1814"/>
          </w:tcPr>
          <w:p>
            <w:pPr>
              <w:spacing w:line="240" w:lineRule="auto" w:after="40"/>
              <w:jc w:val="left"/>
            </w:pPr>
            <w:r/>
            <w:r>
              <w:rPr>
                <w:rFonts w:ascii="Times New Roman" w:hAnsi="Times New Roman"/>
                <w:sz w:val="20"/>
              </w:rPr>
              <w:t>Geri besleme / geri beslemesiz</w:t>
            </w:r>
          </w:p>
        </w:tc>
        <w:tc>
          <w:tcPr>
            <w:tcW w:type="dxa" w:w="1814"/>
          </w:tcPr>
          <w:p>
            <w:pPr>
              <w:spacing w:line="240" w:lineRule="auto" w:after="40"/>
              <w:jc w:val="left"/>
            </w:pPr>
            <w:r/>
            <w:r>
              <w:rPr>
                <w:rFonts w:ascii="Times New Roman" w:hAnsi="Times New Roman"/>
                <w:sz w:val="20"/>
              </w:rPr>
              <w:t>Non-invaziv, ucuz, tekrar edilebilir</w:t>
            </w:r>
          </w:p>
        </w:tc>
        <w:tc>
          <w:tcPr>
            <w:tcW w:type="dxa" w:w="1814"/>
          </w:tcPr>
          <w:p>
            <w:pPr>
              <w:spacing w:line="240" w:lineRule="auto" w:after="40"/>
              <w:jc w:val="left"/>
            </w:pPr>
            <w:r/>
            <w:r>
              <w:rPr>
                <w:rFonts w:ascii="Times New Roman" w:hAnsi="Times New Roman"/>
                <w:sz w:val="20"/>
              </w:rPr>
              <w:t>Düşük sinyal-gürültü, coğrafi sınırlı</w:t>
            </w:r>
          </w:p>
        </w:tc>
      </w:tr>
      <w:tr>
        <w:tc>
          <w:tcPr>
            <w:tcW w:type="dxa" w:w="1814"/>
          </w:tcPr>
          <w:p>
            <w:pPr>
              <w:spacing w:line="240" w:lineRule="auto" w:after="40"/>
              <w:jc w:val="left"/>
            </w:pPr>
            <w:r/>
            <w:r>
              <w:rPr>
                <w:rFonts w:ascii="Times New Roman" w:hAnsi="Times New Roman"/>
                <w:sz w:val="20"/>
              </w:rPr>
              <w:t>Hibrit / pasif</w:t>
            </w:r>
          </w:p>
        </w:tc>
        <w:tc>
          <w:tcPr>
            <w:tcW w:type="dxa" w:w="1814"/>
          </w:tcPr>
          <w:p>
            <w:pPr>
              <w:spacing w:line="240" w:lineRule="auto" w:after="40"/>
              <w:jc w:val="left"/>
            </w:pPr>
            <w:r/>
            <w:r>
              <w:rPr>
                <w:rFonts w:ascii="Times New Roman" w:hAnsi="Times New Roman"/>
                <w:sz w:val="20"/>
              </w:rPr>
              <w:t>İmplant + girişimsiz</w:t>
            </w:r>
          </w:p>
        </w:tc>
        <w:tc>
          <w:tcPr>
            <w:tcW w:type="dxa" w:w="1814"/>
          </w:tcPr>
          <w:p>
            <w:pPr>
              <w:spacing w:line="240" w:lineRule="auto" w:after="40"/>
              <w:jc w:val="left"/>
            </w:pPr>
            <w:r/>
            <w:r>
              <w:rPr>
                <w:rFonts w:ascii="Times New Roman" w:hAnsi="Times New Roman"/>
                <w:sz w:val="20"/>
              </w:rPr>
              <w:t>Geri besleme</w:t>
            </w:r>
          </w:p>
        </w:tc>
        <w:tc>
          <w:tcPr>
            <w:tcW w:type="dxa" w:w="1814"/>
          </w:tcPr>
          <w:p>
            <w:pPr>
              <w:spacing w:line="240" w:lineRule="auto" w:after="40"/>
              <w:jc w:val="left"/>
            </w:pPr>
            <w:r/>
            <w:r>
              <w:rPr>
                <w:rFonts w:ascii="Times New Roman" w:hAnsi="Times New Roman"/>
                <w:sz w:val="20"/>
              </w:rPr>
              <w:t>Aktif ve pasif bölgeleri birlikte çıkarır</w:t>
            </w:r>
          </w:p>
        </w:tc>
        <w:tc>
          <w:tcPr>
            <w:tcW w:type="dxa" w:w="1814"/>
          </w:tcPr>
          <w:p>
            <w:pPr>
              <w:spacing w:line="240" w:lineRule="auto" w:after="40"/>
              <w:jc w:val="left"/>
            </w:pPr>
            <w:r/>
            <w:r>
              <w:rPr>
                <w:rFonts w:ascii="Times New Roman" w:hAnsi="Times New Roman"/>
                <w:sz w:val="20"/>
              </w:rPr>
              <w:t>En yüksek maliyet, en yüksek entegrasyon riski</w:t>
            </w:r>
          </w:p>
        </w:tc>
      </w:tr>
    </w:tbl>
    <w:p>
      <w:pPr>
        <w:spacing w:after="80"/>
      </w:pPr>
    </w:p>
    <w:p>
      <w:pPr>
        <w:spacing w:line="240" w:lineRule="auto" w:after="200"/>
        <w:jc w:val="center"/>
      </w:pPr>
      <w:r>
        <w:rPr>
          <w:rFonts w:ascii="Times New Roman" w:hAnsi="Times New Roman"/>
          <w:i/>
          <w:sz w:val="20"/>
        </w:rPr>
        <w:t>Tablo 2.1. BCI sistemlerinin sınıflandırması.</w:t>
      </w:r>
    </w:p>
    <w:p>
      <w:pPr>
        <w:pStyle w:val="Heading2"/>
      </w:pPr>
      <w:r>
        <w:t>2.3. Sinyal Alım Yöntemleri</w:t>
      </w:r>
    </w:p>
    <w:p>
      <w:pPr>
        <w:pStyle w:val="Heading2"/>
      </w:pPr>
      <w:r>
        <w:t>2.3.1. Elektriksel Yöntemler</w:t>
      </w:r>
    </w:p>
    <w:p>
      <w:pPr>
        <w:ind w:firstLine="709"/>
      </w:pPr>
      <w:r>
        <w:t>Elektriksel kayıt, beyin aktivitesinin en yaygın ve en ucuz kaydedilme biçimidir. Elektrot yüzeyiyle elektrolit arası iletkenlik sayesinde hücre dışı akım potansiyelleri ölçülür. Ölçümün gücü, önce frekans bant genişliği, sonra uzaysal çözünürlük sırasıyla azalır: EEG geniş bantlı ve yüksek uzaysal çözünürlüktür, ECoG daha dar bantlı ve daha iyi çözünürlüktür, intrakortikal kayıt ise en dar bantlı ve en yüksek çözünürlüktür.</w:t>
      </w:r>
    </w:p>
    <w:p>
      <w:pPr>
        <w:ind w:firstLine="709"/>
      </w:pPr>
      <w:r>
        <w:t>EEG'de gözleme, yalnızca alınabilen sinyali değil, aynı zamanda konumlandırılabilen sinyali ifade eder. İki temel yaklaşım vardır. Birincisi uzamsal (spatial filter) tabanlı yaklaşımdır: gözleme, özellik vektörler üzerinden kanal ağırlıklarının hesaplanması ile yapılır. Ortak Ortak Uzaysal Desenler (CSP) ve bunun varyantları bu ailedendir. İkincisi, kafa derisinin hacim iletkenliği nedeniyle sinyallerin karıştığını kabul edip modelleme temelli (kaynak yerelleştirme, ters modelleme) yaklaşımdır. İki yaklaşım birlikte kullanılabilir; ilki iyi özellik ayrımı, ikincisi fizyolojik yorumluluk sağlar.</w:t>
      </w:r>
    </w:p>
    <w:p>
      <w:pPr>
        <w:pStyle w:val="Heading2"/>
      </w:pPr>
      <w:r>
        <w:t>2.3.2. Kayıt Kalitesi ve Yüz Yüklemesi</w:t>
      </w:r>
    </w:p>
    <w:p>
      <w:pPr>
        <w:ind w:firstLine="709"/>
      </w:pPr>
      <w:r>
        <w:t>Girişimsiz kayıtta en belirleyici sınırlandırma yüz yüklemesidir. Elektrot sayısı doğrusal olarak artsa bile, elektrot sayısının karesiyle orantili serbestlik derecesi sınırlı kaldığı için özelliklerin belirginliği sınırlanır. Ayrıca kırpma, göz kasları aktivitesi ve terleme kaynaklı hareket artefaktları sinyali bozar. Bu nedenle konumlandırılabilir ve güçlendirilmiş elektrotlar, yoğun montajlara göre uygulamalarda tercih edilebilir.</w:t>
      </w:r>
    </w:p>
    <w:p>
      <w:pPr>
        <w:ind w:firstLine="709"/>
      </w:pPr>
      <w:r>
        <w:t>Artefakt yönetimi, BCI süreçlerinin ayrılmaz parçasıdır. Göz kasları aktivitesi aslında sinyali değil, ortam bilgisini taşır; bu nedenle doğru bir tanımlayıcı (örneğin yatay göz hareketi ile zihinsel koşullulandırma) artefaktı bilgiye çevirebilir. Buna karşılık, kırpma gibi kaynaklardan gelen artefaktlar kırpma kanalından taşınan ikinci bir elektrotla veya Empedans (bimodül) eşikleriyle bastırılır.</w:t>
      </w:r>
    </w:p>
    <w:p>
      <w:pPr>
        <w:pStyle w:val="Heading2"/>
      </w:pPr>
      <w:r>
        <w:t>2.4. Sinyal İşleme Zinciri</w:t>
      </w:r>
    </w:p>
    <w:p>
      <w:pPr>
        <w:ind w:firstLine="709"/>
      </w:pPr>
      <w:r>
        <w:t>Bir BCI çıkarım zinciri tipik olarak yedi aşamadan oluşur ve her aşamadaki tasarım kararı toplam performansı belirler.</w:t>
      </w:r>
    </w:p>
    <w:p>
      <w:pPr>
        <w:pStyle w:val="ListBullet"/>
        <w:spacing w:line="360" w:lineRule="auto" w:after="80"/>
        <w:jc w:val="both"/>
      </w:pPr>
      <w:r>
        <w:t>(1) On işleme: filtreleme, yeniden örnekleme, kanalların seçimi ve artefakt bastırma.</w:t>
      </w:r>
    </w:p>
    <w:p>
      <w:pPr>
        <w:pStyle w:val="ListBullet"/>
        <w:spacing w:line="360" w:lineRule="auto" w:after="80"/>
        <w:jc w:val="both"/>
      </w:pPr>
      <w:r>
        <w:t>(2) Özellik çıkarımı: zaman alanı (güçlük, varyans, istatistikler), frekans alanı (bant gücü, oransal bant gücü) ve zaman-frekans alanı (kısa zamanli Fourier dönüşümü, dalgacık) temelli özellikler.</w:t>
      </w:r>
    </w:p>
    <w:p>
      <w:pPr>
        <w:pStyle w:val="ListBullet"/>
        <w:spacing w:line="360" w:lineRule="auto" w:after="80"/>
        <w:jc w:val="both"/>
      </w:pPr>
      <w:r>
        <w:t>(3) Özellik seçimi ve boyut azaltma: bilgi kazanı oranları, isabetli seçilim, kabalaştırma veya öğrenmeye dayalı gömülü yöntemler.</w:t>
      </w:r>
    </w:p>
    <w:p>
      <w:pPr>
        <w:pStyle w:val="ListBullet"/>
        <w:spacing w:line="360" w:lineRule="auto" w:after="80"/>
        <w:jc w:val="both"/>
      </w:pPr>
      <w:r>
        <w:t>(4) Sınıflandırma: doğrusal diskriminant analizi, destek vektör makineleri, lojistik regresyon, rastgele orman ve derin öğrenme.</w:t>
      </w:r>
    </w:p>
    <w:p>
      <w:pPr>
        <w:pStyle w:val="ListBullet"/>
        <w:spacing w:line="360" w:lineRule="auto" w:after="80"/>
        <w:jc w:val="both"/>
      </w:pPr>
      <w:r>
        <w:t>(5) Üç durumlu çıkarım: sistem yalnızca iki sınıf arasında karar vermek zorunda değildir; bir duruşma aralığında (bkz. sabit duruş, hazır, tetikleme) kalmasına izin vermek, kontrol yükünü azaltır.</w:t>
      </w:r>
    </w:p>
    <w:p>
      <w:pPr>
        <w:pStyle w:val="ListBullet"/>
        <w:spacing w:line="360" w:lineRule="auto" w:after="80"/>
        <w:jc w:val="both"/>
      </w:pPr>
      <w:r>
        <w:t>(6) Geri besleme aracı: sanal imleç, gerçek zamanli görsel geri bildirim, sonuç yanlış olduğunda düzeltme haklı.</w:t>
      </w:r>
    </w:p>
    <w:p>
      <w:pPr>
        <w:pStyle w:val="ListBullet"/>
        <w:spacing w:line="360" w:lineRule="auto" w:after="80"/>
        <w:jc w:val="both"/>
      </w:pPr>
      <w:r>
        <w:t>(7) Uyarlama ve öğretim: sistemin kullanıcıdan göre güncellenmesi.</w:t>
      </w:r>
    </w:p>
    <w:p>
      <w:pPr>
        <w:ind w:firstLine="709"/>
      </w:pPr>
      <w:r>
        <w:t>İki ek parametre her tasarımı belirler. İlki gecikmişsiz, ikincisi kararlılıktır. BCI sistemlerinin en sık tartışılan ikilemi budur: kısa gecikmeli sistemler hızlı hissettirir ama hatalı karar oranını artırır; kararlı sistemler hatayı azaltır ama kullanıcıyı yorar ve akışından çıkarır. Bu nedenle 'doğru cevap' sorusu kadar 'kullanılabilir cevap' sorusu da önemlidir.</w:t>
      </w:r>
    </w:p>
    <w:p>
      <w:pPr>
        <w:pStyle w:val="Heading2"/>
      </w:pPr>
      <w:r>
        <w:t>2.5. Evrensel BCI Kavramı</w:t>
      </w:r>
    </w:p>
    <w:p>
      <w:pPr>
        <w:ind w:firstLine="709"/>
      </w:pPr>
      <w:r>
        <w:t>Her kullanıcıya uygun tek bir sistem olmadığı görülünce, alanda evrensel (universal) BCI kavramı geliştirildi. Evrensel BCI, kullanıcının eğitim verilmeden, hatta bilinçli komut üretmeden sistemi kullanabilmesi hedefini taşır. Buna ulaşmak iki zorluk barındırır. İlki, ör. kafatasındaki anatomik ve elektrofizyolojik farklılıkların kanal kalıplarını ve özellik dağılımlarını değiştirmesidir; bu, sabit bir öznitelik uzayının her kullanıcıya taşınamamasına yol açar. İkincisi, bireysel öznitelik uzaylarinin veri azlığı nedeniyle kararlı olmamasıdır.</w:t>
      </w:r>
    </w:p>
    <w:p>
      <w:pPr>
        <w:ind w:firstLine="709"/>
      </w:pPr>
      <w:r>
        <w:t>Bu zorluklara yönelik iki strateji belirginleşti. Birincisi, veri augmentasyonu ve alan uyarlaması (domain adaptation): kaynak kullanıcıdan hedef kullanıcıya transfer yaparak etiketsiz hedef veriden yararlanır. İkincisi, dikkat mekanizması ve transformer temelli zaman-serisi modelleri: çift yönlü (encoder-decoder) mimariler sinyali iki yönden işleme ve zaman bağımlılıklarını modelleme yetenekleri kazandırır. Her iki yönelim de önerilen etiklik ve klinik geçerlilik sorunlarını çözmektedir.</w:t>
      </w:r>
    </w:p>
    <w:p>
      <w:r>
        <w:br w:type="page"/>
      </w:r>
    </w:p>
    <w:p>
      <w:pPr>
        <w:pStyle w:val="Heading1"/>
      </w:pPr>
      <w:r>
        <w:t>ÜÇÜNCÜ BÖLÜM</w:t>
      </w:r>
    </w:p>
    <w:p>
      <w:pPr>
        <w:pStyle w:val="Heading1"/>
      </w:pPr>
      <w:r>
        <w:t>YAPAY ZEKÂ DESTEKLİ NÖRAL SİNYAL İŞLEME VE DÜŞÜNCE ÇÖZME</w:t>
      </w:r>
    </w:p>
    <w:p>
      <w:pPr>
        <w:pStyle w:val="Heading2"/>
      </w:pPr>
      <w:r>
        <w:t>3.1. Geleneksel Yöntemler ve Temel Sınırları</w:t>
      </w:r>
    </w:p>
    <w:p>
      <w:pPr>
        <w:ind w:firstLine="709"/>
      </w:pPr>
      <w:r>
        <w:t>BCI sınıflandırmasında geleneksel yaklaşım, karar fonksiyonunu basit ve özellik uzayında doğrusal varsayar. En yaygın kullanılan özellik çıkarımı yöntemi Ortak Ortak Uzaysal Desenlerdir (Common Spatial Patterns, CSP). CSP, iki sınıf arasındaki varyans farkını maksimize eden ve sınıf ortalarini birleştiren bir çift yönlü projeksiyon bulur. Düşük sınıf sayılı, iyi özellik ayrımı olan problemlerde CSP tabanlı sistemler, doğrusal diskriminant analizi ile birlikte hâlâ güçlü bir kıyas ölçüsüdür.</w:t>
      </w:r>
    </w:p>
    <w:p>
      <w:pPr>
        <w:ind w:firstLine="709"/>
      </w:pPr>
      <w:r>
        <w:t>Ancak bu yöntemlerin dört temel sınırı vardır.</w:t>
      </w:r>
    </w:p>
    <w:p>
      <w:pPr>
        <w:pStyle w:val="ListBullet"/>
        <w:spacing w:line="360" w:lineRule="auto" w:after="80"/>
        <w:jc w:val="both"/>
      </w:pPr>
      <w:r>
        <w:t>(i) Özellik uzayı zorunludur. Sistem yalnızca önceden seçilmiş özellikler üzerinden öğrendiği için, seçim yanlışsa performans tavana çarpar.</w:t>
      </w:r>
    </w:p>
    <w:p>
      <w:pPr>
        <w:pStyle w:val="ListBullet"/>
        <w:spacing w:line="360" w:lineRule="auto" w:after="80"/>
        <w:jc w:val="both"/>
      </w:pPr>
      <w:r>
        <w:t>(ii) Bilgi kazanımı yoktur. Özellik çıkarımı, sınıflandırıcıdan bağımsız ve gözlemeden bağımsız yapıldığı için öğrenme ile özellikler arasındaki Uyumsuzluk doğrudan gözlenmez.</w:t>
      </w:r>
    </w:p>
    <w:p>
      <w:pPr>
        <w:pStyle w:val="ListBullet"/>
        <w:spacing w:line="360" w:lineRule="auto" w:after="80"/>
        <w:jc w:val="both"/>
      </w:pPr>
      <w:r>
        <w:t>(iii) Sabit uzunluk penceresi kullanılır. Zaman-frekans özelliklerde pencere boyu sabit tutulduğu için, kısa süreli ve uzun süreli normal olaylar aynı çözünürlükte temsil edilir.</w:t>
      </w:r>
    </w:p>
    <w:p>
      <w:pPr>
        <w:pStyle w:val="ListBullet"/>
        <w:spacing w:line="360" w:lineRule="auto" w:after="80"/>
        <w:jc w:val="both"/>
      </w:pPr>
      <w:r>
        <w:t>(iv) İstatistiksel varsayımlardır. Çıkarınım modelleri şüphesiz dağılım ve sınıf dengesi varsayımına dayanır; gerçek EEG verisi ikisini de ihlal eder.</w:t>
      </w:r>
    </w:p>
    <w:p>
      <w:pPr>
        <w:ind w:firstLine="709"/>
      </w:pPr>
      <w:r>
        <w:t>Bu sınırlar, BCI'de derin öğrenmeye ilgiyi artırmış ve bu ilgi literatürde belirgin bir şekilde büyümüştür.</w:t>
      </w:r>
    </w:p>
    <w:p>
      <w:pPr>
        <w:pStyle w:val="Heading2"/>
      </w:pPr>
      <w:r>
        <w:t>3.2. Derin Öğrenme: Mimari Duruş</w:t>
      </w:r>
    </w:p>
    <w:p>
      <w:pPr>
        <w:pStyle w:val="Heading2"/>
      </w:pPr>
      <w:r>
        <w:t>3.2.1. Girdi Temsilleri</w:t>
      </w:r>
    </w:p>
    <w:p>
      <w:pPr>
        <w:ind w:firstLine="709"/>
      </w:pPr>
      <w:r>
        <w:t>Derin öğrenme modellerinin girdi temsili, BCI'de en kritik tasarım kararıdır ve literatürde en az model mimarisi kadar tartışılmıştır. Beş ana yaklaşım vardır.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D9D9"/>
          </w:tcPr>
          <w:p>
            <w:pPr>
              <w:spacing w:line="240" w:lineRule="auto" w:after="40"/>
              <w:jc w:val="center"/>
            </w:pPr>
            <w:r/>
            <w:r>
              <w:rPr>
                <w:rFonts w:ascii="Times New Roman" w:hAnsi="Times New Roman"/>
                <w:b/>
                <w:sz w:val="20"/>
              </w:rPr>
              <w:t>Temsil</w:t>
            </w:r>
          </w:p>
        </w:tc>
        <w:tc>
          <w:tcPr>
            <w:tcW w:type="dxa" w:w="2268"/>
            <w:shd w:val="clear" w:color="auto" w:fill="D9D9D9"/>
          </w:tcPr>
          <w:p>
            <w:pPr>
              <w:spacing w:line="240" w:lineRule="auto" w:after="40"/>
              <w:jc w:val="center"/>
            </w:pPr>
            <w:r/>
            <w:r>
              <w:rPr>
                <w:rFonts w:ascii="Times New Roman" w:hAnsi="Times New Roman"/>
                <w:b/>
                <w:sz w:val="20"/>
              </w:rPr>
              <w:t>Girdi Şekli</w:t>
            </w:r>
          </w:p>
        </w:tc>
        <w:tc>
          <w:tcPr>
            <w:tcW w:type="dxa" w:w="2268"/>
            <w:shd w:val="clear" w:color="auto" w:fill="D9D9D9"/>
          </w:tcPr>
          <w:p>
            <w:pPr>
              <w:spacing w:line="240" w:lineRule="auto" w:after="40"/>
              <w:jc w:val="center"/>
            </w:pPr>
            <w:r/>
            <w:r>
              <w:rPr>
                <w:rFonts w:ascii="Times New Roman" w:hAnsi="Times New Roman"/>
                <w:b/>
                <w:sz w:val="20"/>
              </w:rPr>
              <w:t>Avantaj</w:t>
            </w:r>
          </w:p>
        </w:tc>
        <w:tc>
          <w:tcPr>
            <w:tcW w:type="dxa" w:w="2268"/>
            <w:shd w:val="clear" w:color="auto" w:fill="D9D9D9"/>
          </w:tcPr>
          <w:p>
            <w:pPr>
              <w:spacing w:line="240" w:lineRule="auto" w:after="40"/>
              <w:jc w:val="center"/>
            </w:pPr>
            <w:r/>
            <w:r>
              <w:rPr>
                <w:rFonts w:ascii="Times New Roman" w:hAnsi="Times New Roman"/>
                <w:b/>
                <w:sz w:val="20"/>
              </w:rPr>
              <w:t>Dezavantaj</w:t>
            </w:r>
          </w:p>
        </w:tc>
      </w:tr>
      <w:tr>
        <w:tc>
          <w:tcPr>
            <w:tcW w:type="dxa" w:w="2268"/>
          </w:tcPr>
          <w:p>
            <w:pPr>
              <w:spacing w:line="240" w:lineRule="auto" w:after="40"/>
              <w:jc w:val="left"/>
            </w:pPr>
            <w:r/>
            <w:r>
              <w:rPr>
                <w:rFonts w:ascii="Times New Roman" w:hAnsi="Times New Roman"/>
                <w:sz w:val="20"/>
              </w:rPr>
              <w:t>Ham zaman serisi</w:t>
            </w:r>
          </w:p>
        </w:tc>
        <w:tc>
          <w:tcPr>
            <w:tcW w:type="dxa" w:w="2268"/>
          </w:tcPr>
          <w:p>
            <w:pPr>
              <w:spacing w:line="240" w:lineRule="auto" w:after="40"/>
              <w:jc w:val="left"/>
            </w:pPr>
            <w:r/>
            <w:r>
              <w:rPr>
                <w:rFonts w:ascii="Times New Roman" w:hAnsi="Times New Roman"/>
                <w:sz w:val="20"/>
              </w:rPr>
              <w:t>[kanal x zaman]</w:t>
            </w:r>
          </w:p>
        </w:tc>
        <w:tc>
          <w:tcPr>
            <w:tcW w:type="dxa" w:w="2268"/>
          </w:tcPr>
          <w:p>
            <w:pPr>
              <w:spacing w:line="240" w:lineRule="auto" w:after="40"/>
              <w:jc w:val="left"/>
            </w:pPr>
            <w:r/>
            <w:r>
              <w:rPr>
                <w:rFonts w:ascii="Times New Roman" w:hAnsi="Times New Roman"/>
                <w:sz w:val="20"/>
              </w:rPr>
              <w:t>Bilgi kaybı yok</w:t>
            </w:r>
          </w:p>
        </w:tc>
        <w:tc>
          <w:tcPr>
            <w:tcW w:type="dxa" w:w="2268"/>
          </w:tcPr>
          <w:p>
            <w:pPr>
              <w:spacing w:line="240" w:lineRule="auto" w:after="40"/>
              <w:jc w:val="left"/>
            </w:pPr>
            <w:r/>
            <w:r>
              <w:rPr>
                <w:rFonts w:ascii="Times New Roman" w:hAnsi="Times New Roman"/>
                <w:sz w:val="20"/>
              </w:rPr>
              <w:t>Öğrenmesi zor, veri sınırlı</w:t>
            </w:r>
          </w:p>
        </w:tc>
      </w:tr>
      <w:tr>
        <w:tc>
          <w:tcPr>
            <w:tcW w:type="dxa" w:w="2268"/>
          </w:tcPr>
          <w:p>
            <w:pPr>
              <w:spacing w:line="240" w:lineRule="auto" w:after="40"/>
              <w:jc w:val="left"/>
            </w:pPr>
            <w:r/>
            <w:r>
              <w:rPr>
                <w:rFonts w:ascii="Times New Roman" w:hAnsi="Times New Roman"/>
                <w:sz w:val="20"/>
              </w:rPr>
              <w:t>Zaman-frekans (STFT)</w:t>
            </w:r>
          </w:p>
        </w:tc>
        <w:tc>
          <w:tcPr>
            <w:tcW w:type="dxa" w:w="2268"/>
          </w:tcPr>
          <w:p>
            <w:pPr>
              <w:spacing w:line="240" w:lineRule="auto" w:after="40"/>
              <w:jc w:val="left"/>
            </w:pPr>
            <w:r/>
            <w:r>
              <w:rPr>
                <w:rFonts w:ascii="Times New Roman" w:hAnsi="Times New Roman"/>
                <w:sz w:val="20"/>
              </w:rPr>
              <w:t>[kanal x zaman x frekans]</w:t>
            </w:r>
          </w:p>
        </w:tc>
        <w:tc>
          <w:tcPr>
            <w:tcW w:type="dxa" w:w="2268"/>
          </w:tcPr>
          <w:p>
            <w:pPr>
              <w:spacing w:line="240" w:lineRule="auto" w:after="40"/>
              <w:jc w:val="left"/>
            </w:pPr>
            <w:r/>
            <w:r>
              <w:rPr>
                <w:rFonts w:ascii="Times New Roman" w:hAnsi="Times New Roman"/>
                <w:sz w:val="20"/>
              </w:rPr>
              <w:t>Zamanı frekans ile eşleştirir</w:t>
            </w:r>
          </w:p>
        </w:tc>
        <w:tc>
          <w:tcPr>
            <w:tcW w:type="dxa" w:w="2268"/>
          </w:tcPr>
          <w:p>
            <w:pPr>
              <w:spacing w:line="240" w:lineRule="auto" w:after="40"/>
              <w:jc w:val="left"/>
            </w:pPr>
            <w:r/>
            <w:r>
              <w:rPr>
                <w:rFonts w:ascii="Times New Roman" w:hAnsi="Times New Roman"/>
                <w:sz w:val="20"/>
              </w:rPr>
              <w:t>Pencere seçimi kritik</w:t>
            </w:r>
          </w:p>
        </w:tc>
      </w:tr>
      <w:tr>
        <w:tc>
          <w:tcPr>
            <w:tcW w:type="dxa" w:w="2268"/>
          </w:tcPr>
          <w:p>
            <w:pPr>
              <w:spacing w:line="240" w:lineRule="auto" w:after="40"/>
              <w:jc w:val="left"/>
            </w:pPr>
            <w:r/>
            <w:r>
              <w:rPr>
                <w:rFonts w:ascii="Times New Roman" w:hAnsi="Times New Roman"/>
                <w:sz w:val="20"/>
              </w:rPr>
              <w:t>Dalgacık (wavelet)</w:t>
            </w:r>
          </w:p>
        </w:tc>
        <w:tc>
          <w:tcPr>
            <w:tcW w:type="dxa" w:w="2268"/>
          </w:tcPr>
          <w:p>
            <w:pPr>
              <w:spacing w:line="240" w:lineRule="auto" w:after="40"/>
              <w:jc w:val="left"/>
            </w:pPr>
            <w:r/>
            <w:r>
              <w:rPr>
                <w:rFonts w:ascii="Times New Roman" w:hAnsi="Times New Roman"/>
                <w:sz w:val="20"/>
              </w:rPr>
              <w:t>[kanal x zaman x ölçek]</w:t>
            </w:r>
          </w:p>
        </w:tc>
        <w:tc>
          <w:tcPr>
            <w:tcW w:type="dxa" w:w="2268"/>
          </w:tcPr>
          <w:p>
            <w:pPr>
              <w:spacing w:line="240" w:lineRule="auto" w:after="40"/>
              <w:jc w:val="left"/>
            </w:pPr>
            <w:r/>
            <w:r>
              <w:rPr>
                <w:rFonts w:ascii="Times New Roman" w:hAnsi="Times New Roman"/>
                <w:sz w:val="20"/>
              </w:rPr>
              <w:t>Çok ölçeklilik, zaman-özel</w:t>
            </w:r>
          </w:p>
        </w:tc>
        <w:tc>
          <w:tcPr>
            <w:tcW w:type="dxa" w:w="2268"/>
          </w:tcPr>
          <w:p>
            <w:pPr>
              <w:spacing w:line="240" w:lineRule="auto" w:after="40"/>
              <w:jc w:val="left"/>
            </w:pPr>
            <w:r/>
            <w:r>
              <w:rPr>
                <w:rFonts w:ascii="Times New Roman" w:hAnsi="Times New Roman"/>
                <w:sz w:val="20"/>
              </w:rPr>
              <w:t>Analitik işlem maliyeti</w:t>
            </w:r>
          </w:p>
        </w:tc>
      </w:tr>
      <w:tr>
        <w:tc>
          <w:tcPr>
            <w:tcW w:type="dxa" w:w="2268"/>
          </w:tcPr>
          <w:p>
            <w:pPr>
              <w:spacing w:line="240" w:lineRule="auto" w:after="40"/>
              <w:jc w:val="left"/>
            </w:pPr>
            <w:r/>
            <w:r>
              <w:rPr>
                <w:rFonts w:ascii="Times New Roman" w:hAnsi="Times New Roman"/>
                <w:sz w:val="20"/>
              </w:rPr>
              <w:t>Tüketilmiş özellik haritası</w:t>
            </w:r>
          </w:p>
        </w:tc>
        <w:tc>
          <w:tcPr>
            <w:tcW w:type="dxa" w:w="2268"/>
          </w:tcPr>
          <w:p>
            <w:pPr>
              <w:spacing w:line="240" w:lineRule="auto" w:after="40"/>
              <w:jc w:val="left"/>
            </w:pPr>
            <w:r/>
            <w:r>
              <w:rPr>
                <w:rFonts w:ascii="Times New Roman" w:hAnsi="Times New Roman"/>
                <w:sz w:val="20"/>
              </w:rPr>
              <w:t>[özellik x kanal]</w:t>
            </w:r>
          </w:p>
        </w:tc>
        <w:tc>
          <w:tcPr>
            <w:tcW w:type="dxa" w:w="2268"/>
          </w:tcPr>
          <w:p>
            <w:pPr>
              <w:spacing w:line="240" w:lineRule="auto" w:after="40"/>
              <w:jc w:val="left"/>
            </w:pPr>
            <w:r/>
            <w:r>
              <w:rPr>
                <w:rFonts w:ascii="Times New Roman" w:hAnsi="Times New Roman"/>
                <w:sz w:val="20"/>
              </w:rPr>
              <w:t>Ritim ve müzikâlik ilişkileri</w:t>
            </w:r>
          </w:p>
        </w:tc>
        <w:tc>
          <w:tcPr>
            <w:tcW w:type="dxa" w:w="2268"/>
          </w:tcPr>
          <w:p>
            <w:pPr>
              <w:spacing w:line="240" w:lineRule="auto" w:after="40"/>
              <w:jc w:val="left"/>
            </w:pPr>
            <w:r/>
            <w:r>
              <w:rPr>
                <w:rFonts w:ascii="Times New Roman" w:hAnsi="Times New Roman"/>
                <w:sz w:val="20"/>
              </w:rPr>
              <w:t>Biçimsel bilgi kaybı</w:t>
            </w:r>
          </w:p>
        </w:tc>
      </w:tr>
      <w:tr>
        <w:tc>
          <w:tcPr>
            <w:tcW w:type="dxa" w:w="2268"/>
          </w:tcPr>
          <w:p>
            <w:pPr>
              <w:spacing w:line="240" w:lineRule="auto" w:after="40"/>
              <w:jc w:val="left"/>
            </w:pPr>
            <w:r/>
            <w:r>
              <w:rPr>
                <w:rFonts w:ascii="Times New Roman" w:hAnsi="Times New Roman"/>
                <w:sz w:val="20"/>
              </w:rPr>
              <w:t>Kafes tabanlı öğrenme</w:t>
            </w:r>
          </w:p>
        </w:tc>
        <w:tc>
          <w:tcPr>
            <w:tcW w:type="dxa" w:w="2268"/>
          </w:tcPr>
          <w:p>
            <w:pPr>
              <w:spacing w:line="240" w:lineRule="auto" w:after="40"/>
              <w:jc w:val="left"/>
            </w:pPr>
            <w:r/>
            <w:r>
              <w:rPr>
                <w:rFonts w:ascii="Times New Roman" w:hAnsi="Times New Roman"/>
                <w:sz w:val="20"/>
              </w:rPr>
              <w:t>[kanal x zaman x frekans]</w:t>
            </w:r>
          </w:p>
        </w:tc>
        <w:tc>
          <w:tcPr>
            <w:tcW w:type="dxa" w:w="2268"/>
          </w:tcPr>
          <w:p>
            <w:pPr>
              <w:spacing w:line="240" w:lineRule="auto" w:after="40"/>
              <w:jc w:val="left"/>
            </w:pPr>
            <w:r/>
            <w:r>
              <w:rPr>
                <w:rFonts w:ascii="Times New Roman" w:hAnsi="Times New Roman"/>
                <w:sz w:val="20"/>
              </w:rPr>
              <w:t>Uzaysal-zamansal birliktelik</w:t>
            </w:r>
          </w:p>
        </w:tc>
        <w:tc>
          <w:tcPr>
            <w:tcW w:type="dxa" w:w="2268"/>
          </w:tcPr>
          <w:p>
            <w:pPr>
              <w:spacing w:line="240" w:lineRule="auto" w:after="40"/>
              <w:jc w:val="left"/>
            </w:pPr>
            <w:r/>
            <w:r>
              <w:rPr>
                <w:rFonts w:ascii="Times New Roman" w:hAnsi="Times New Roman"/>
                <w:sz w:val="20"/>
              </w:rPr>
              <w:t>Hesaplama yoğun</w:t>
            </w:r>
          </w:p>
        </w:tc>
      </w:tr>
    </w:tbl>
    <w:p>
      <w:pPr>
        <w:spacing w:after="80"/>
      </w:pPr>
    </w:p>
    <w:p>
      <w:pPr>
        <w:spacing w:line="240" w:lineRule="auto" w:after="200"/>
        <w:jc w:val="center"/>
      </w:pPr>
      <w:r>
        <w:rPr>
          <w:rFonts w:ascii="Times New Roman" w:hAnsi="Times New Roman"/>
          <w:i/>
          <w:sz w:val="20"/>
        </w:rPr>
        <w:t>Tablo 3.1. BCI'de derin öğrenme girdi temsilleri.</w:t>
      </w:r>
    </w:p>
    <w:p>
      <w:pPr>
        <w:pStyle w:val="Heading2"/>
      </w:pPr>
      <w:r>
        <w:t>3.2.2. Uygulanan Mimariler</w:t>
      </w:r>
    </w:p>
    <w:p>
      <w:pPr>
        <w:ind w:firstLine="709"/>
      </w:pPr>
      <w:r>
        <w:t>Bozulmuş sınıftan öğrenme (BOS) tabanlı konvolüsyonel sinir ağları, EEG verisinde en yaygın kullanılan mimaridir. Temel fikir, konvolüsyon katmanlarının hem zaman hem de frekans ekseninde yerel desenleri çevirdiği ve sınıflandırma katmanına kadar bu desenlerin hiyerarşisini kurduğudur. Derin konvolüsyonel sinir ağları (DKSA) bu temele ek olarak her katmanda özellik haritalarını ilerleterek, özellik çıkarımı ile sınıflandırmayı birlikte öğrenen bütünleşik bir model kurar. Bir sonraki adım olarak, özellik haritalarının kanal uzayında özelleştirilmesi (KSA = kanal-uzay özelleştirme) eklenmiştir; bu aşama, EEG'de kanallar arasındaki bölgesel ilişkilerin modele girmesini sağlar.</w:t>
      </w:r>
    </w:p>
    <w:p>
      <w:pPr>
        <w:ind w:firstLine="709"/>
      </w:pPr>
      <w:r>
        <w:t>Bunun yanında iki farklı yönelim gelişmiştir.</w:t>
      </w:r>
    </w:p>
    <w:p>
      <w:pPr>
        <w:pStyle w:val="ListBullet"/>
        <w:spacing w:line="360" w:lineRule="auto" w:after="80"/>
        <w:jc w:val="both"/>
      </w:pPr>
      <w:r>
        <w:t>Graf tabanlı sinir ağları: kanal ilişkilerini bir komşuluk grafında temsil ederek, elektrot konumundan gelen ek bilgiyi modele entegre eder. Bu yaklaşım, anatomik komşuluğun sınıf ayrımına katkıda bulunduğu için özellikle yakın elektrotlarda kaydedilen çözünürlük düşük sinyallerde avantajlıdır.</w:t>
      </w:r>
    </w:p>
    <w:p>
      <w:pPr>
        <w:pStyle w:val="ListBullet"/>
        <w:spacing w:line="360" w:lineRule="auto" w:after="80"/>
        <w:jc w:val="both"/>
      </w:pPr>
      <w:r>
        <w:t>Dönüşümcü (transformer) tabanlı modeller: çok başlı öz-dikkat mekanizmasiyla kanal ve zaman boyutlarındaki uzak bağımlılıkları yakalar. EEG özgelliğinde, zaman-serisi modellerinin görüntü modellerine göre belirgin bir başarı farkı gösterdiğini ortaya koyan ilk çalışma 2021'de yayımlanmış ve alanın yönünü değiştirmiştir.</w:t>
      </w:r>
    </w:p>
    <w:p>
      <w:pPr>
        <w:pStyle w:val="Heading2"/>
      </w:pPr>
      <w:r>
        <w:t>3.3. Öğrenme Stratejileri</w:t>
      </w:r>
    </w:p>
    <w:p>
      <w:pPr>
        <w:ind w:firstLine="709"/>
      </w:pPr>
      <w:r>
        <w:t>Veri miktarından çok, verinin nasıl kullanıldığı belirleyicidir. BCI'de her kullanıcı için etiketli veri sınırlı olduğundan, transfer ve yararlanma temelli stratejiler temel tasarım kararıdır.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D9D9"/>
          </w:tcPr>
          <w:p>
            <w:pPr>
              <w:spacing w:line="240" w:lineRule="auto" w:after="40"/>
              <w:jc w:val="center"/>
            </w:pPr>
            <w:r/>
            <w:r>
              <w:rPr>
                <w:rFonts w:ascii="Times New Roman" w:hAnsi="Times New Roman"/>
                <w:b/>
                <w:sz w:val="20"/>
              </w:rPr>
              <w:t>Strateji</w:t>
            </w:r>
          </w:p>
        </w:tc>
        <w:tc>
          <w:tcPr>
            <w:tcW w:type="dxa" w:w="2268"/>
            <w:shd w:val="clear" w:color="auto" w:fill="D9D9D9"/>
          </w:tcPr>
          <w:p>
            <w:pPr>
              <w:spacing w:line="240" w:lineRule="auto" w:after="40"/>
              <w:jc w:val="center"/>
            </w:pPr>
            <w:r/>
            <w:r>
              <w:rPr>
                <w:rFonts w:ascii="Times New Roman" w:hAnsi="Times New Roman"/>
                <w:b/>
                <w:sz w:val="20"/>
              </w:rPr>
              <w:t>Yaklaşım</w:t>
            </w:r>
          </w:p>
        </w:tc>
        <w:tc>
          <w:tcPr>
            <w:tcW w:type="dxa" w:w="2268"/>
            <w:shd w:val="clear" w:color="auto" w:fill="D9D9D9"/>
          </w:tcPr>
          <w:p>
            <w:pPr>
              <w:spacing w:line="240" w:lineRule="auto" w:after="40"/>
              <w:jc w:val="center"/>
            </w:pPr>
            <w:r/>
            <w:r>
              <w:rPr>
                <w:rFonts w:ascii="Times New Roman" w:hAnsi="Times New Roman"/>
                <w:b/>
                <w:sz w:val="20"/>
              </w:rPr>
              <w:t>Gereksinim</w:t>
            </w:r>
          </w:p>
        </w:tc>
        <w:tc>
          <w:tcPr>
            <w:tcW w:type="dxa" w:w="2268"/>
            <w:shd w:val="clear" w:color="auto" w:fill="D9D9D9"/>
          </w:tcPr>
          <w:p>
            <w:pPr>
              <w:spacing w:line="240" w:lineRule="auto" w:after="40"/>
              <w:jc w:val="center"/>
            </w:pPr>
            <w:r/>
            <w:r>
              <w:rPr>
                <w:rFonts w:ascii="Times New Roman" w:hAnsi="Times New Roman"/>
                <w:b/>
                <w:sz w:val="20"/>
              </w:rPr>
              <w:t>Klinik Uygunluk</w:t>
            </w:r>
          </w:p>
        </w:tc>
      </w:tr>
      <w:tr>
        <w:tc>
          <w:tcPr>
            <w:tcW w:type="dxa" w:w="2268"/>
          </w:tcPr>
          <w:p>
            <w:pPr>
              <w:spacing w:line="240" w:lineRule="auto" w:after="40"/>
              <w:jc w:val="left"/>
            </w:pPr>
            <w:r/>
            <w:r>
              <w:rPr>
                <w:rFonts w:ascii="Times New Roman" w:hAnsi="Times New Roman"/>
                <w:sz w:val="20"/>
              </w:rPr>
              <w:t>Denetimli öğrenme</w:t>
            </w:r>
          </w:p>
        </w:tc>
        <w:tc>
          <w:tcPr>
            <w:tcW w:type="dxa" w:w="2268"/>
          </w:tcPr>
          <w:p>
            <w:pPr>
              <w:spacing w:line="240" w:lineRule="auto" w:after="40"/>
              <w:jc w:val="left"/>
            </w:pPr>
            <w:r/>
            <w:r>
              <w:rPr>
                <w:rFonts w:ascii="Times New Roman" w:hAnsi="Times New Roman"/>
                <w:sz w:val="20"/>
              </w:rPr>
              <w:t>Etiketli veri ile doğrudan eğitim</w:t>
            </w:r>
          </w:p>
        </w:tc>
        <w:tc>
          <w:tcPr>
            <w:tcW w:type="dxa" w:w="2268"/>
          </w:tcPr>
          <w:p>
            <w:pPr>
              <w:spacing w:line="240" w:lineRule="auto" w:after="40"/>
              <w:jc w:val="left"/>
            </w:pPr>
            <w:r/>
            <w:r>
              <w:rPr>
                <w:rFonts w:ascii="Times New Roman" w:hAnsi="Times New Roman"/>
                <w:sz w:val="20"/>
              </w:rPr>
              <w:t>Yeterli oturum (&gt;= 20)</w:t>
            </w:r>
          </w:p>
        </w:tc>
        <w:tc>
          <w:tcPr>
            <w:tcW w:type="dxa" w:w="2268"/>
          </w:tcPr>
          <w:p>
            <w:pPr>
              <w:spacing w:line="240" w:lineRule="auto" w:after="40"/>
              <w:jc w:val="left"/>
            </w:pPr>
            <w:r/>
            <w:r>
              <w:rPr>
                <w:rFonts w:ascii="Times New Roman" w:hAnsi="Times New Roman"/>
                <w:sz w:val="20"/>
              </w:rPr>
              <w:t>Orta</w:t>
            </w:r>
          </w:p>
        </w:tc>
      </w:tr>
      <w:tr>
        <w:tc>
          <w:tcPr>
            <w:tcW w:type="dxa" w:w="2268"/>
          </w:tcPr>
          <w:p>
            <w:pPr>
              <w:spacing w:line="240" w:lineRule="auto" w:after="40"/>
              <w:jc w:val="left"/>
            </w:pPr>
            <w:r/>
            <w:r>
              <w:rPr>
                <w:rFonts w:ascii="Times New Roman" w:hAnsi="Times New Roman"/>
                <w:sz w:val="20"/>
              </w:rPr>
              <w:t>Transfer öğrenme</w:t>
            </w:r>
          </w:p>
        </w:tc>
        <w:tc>
          <w:tcPr>
            <w:tcW w:type="dxa" w:w="2268"/>
          </w:tcPr>
          <w:p>
            <w:pPr>
              <w:spacing w:line="240" w:lineRule="auto" w:after="40"/>
              <w:jc w:val="left"/>
            </w:pPr>
            <w:r/>
            <w:r>
              <w:rPr>
                <w:rFonts w:ascii="Times New Roman" w:hAnsi="Times New Roman"/>
                <w:sz w:val="20"/>
              </w:rPr>
              <w:t>Önceden eğitilmiş ağın yeni kullanıcıya uyarlanması</w:t>
            </w:r>
          </w:p>
        </w:tc>
        <w:tc>
          <w:tcPr>
            <w:tcW w:type="dxa" w:w="2268"/>
          </w:tcPr>
          <w:p>
            <w:pPr>
              <w:spacing w:line="240" w:lineRule="auto" w:after="40"/>
              <w:jc w:val="left"/>
            </w:pPr>
            <w:r/>
            <w:r>
              <w:rPr>
                <w:rFonts w:ascii="Times New Roman" w:hAnsi="Times New Roman"/>
                <w:sz w:val="20"/>
              </w:rPr>
              <w:t>Hedef veri (az etiketle)</w:t>
            </w:r>
          </w:p>
        </w:tc>
        <w:tc>
          <w:tcPr>
            <w:tcW w:type="dxa" w:w="2268"/>
          </w:tcPr>
          <w:p>
            <w:pPr>
              <w:spacing w:line="240" w:lineRule="auto" w:after="40"/>
              <w:jc w:val="left"/>
            </w:pPr>
            <w:r/>
            <w:r>
              <w:rPr>
                <w:rFonts w:ascii="Times New Roman" w:hAnsi="Times New Roman"/>
                <w:sz w:val="20"/>
              </w:rPr>
              <w:t>Yüksek</w:t>
            </w:r>
          </w:p>
        </w:tc>
      </w:tr>
      <w:tr>
        <w:tc>
          <w:tcPr>
            <w:tcW w:type="dxa" w:w="2268"/>
          </w:tcPr>
          <w:p>
            <w:pPr>
              <w:spacing w:line="240" w:lineRule="auto" w:after="40"/>
              <w:jc w:val="left"/>
            </w:pPr>
            <w:r/>
            <w:r>
              <w:rPr>
                <w:rFonts w:ascii="Times New Roman" w:hAnsi="Times New Roman"/>
                <w:sz w:val="20"/>
              </w:rPr>
              <w:t>Öykülmüş öğrenme</w:t>
            </w:r>
          </w:p>
        </w:tc>
        <w:tc>
          <w:tcPr>
            <w:tcW w:type="dxa" w:w="2268"/>
          </w:tcPr>
          <w:p>
            <w:pPr>
              <w:spacing w:line="240" w:lineRule="auto" w:after="40"/>
              <w:jc w:val="left"/>
            </w:pPr>
            <w:r/>
            <w:r>
              <w:rPr>
                <w:rFonts w:ascii="Times New Roman" w:hAnsi="Times New Roman"/>
                <w:sz w:val="20"/>
              </w:rPr>
              <w:t>Etiketli/etiketsiz verinin birlikte kullanılması</w:t>
            </w:r>
          </w:p>
        </w:tc>
        <w:tc>
          <w:tcPr>
            <w:tcW w:type="dxa" w:w="2268"/>
          </w:tcPr>
          <w:p>
            <w:pPr>
              <w:spacing w:line="240" w:lineRule="auto" w:after="40"/>
              <w:jc w:val="left"/>
            </w:pPr>
            <w:r/>
            <w:r>
              <w:rPr>
                <w:rFonts w:ascii="Times New Roman" w:hAnsi="Times New Roman"/>
                <w:sz w:val="20"/>
              </w:rPr>
              <w:t>Yeterli etiketsiz veri</w:t>
            </w:r>
          </w:p>
        </w:tc>
        <w:tc>
          <w:tcPr>
            <w:tcW w:type="dxa" w:w="2268"/>
          </w:tcPr>
          <w:p>
            <w:pPr>
              <w:spacing w:line="240" w:lineRule="auto" w:after="40"/>
              <w:jc w:val="left"/>
            </w:pPr>
            <w:r/>
            <w:r>
              <w:rPr>
                <w:rFonts w:ascii="Times New Roman" w:hAnsi="Times New Roman"/>
                <w:sz w:val="20"/>
              </w:rPr>
              <w:t>Orta-yüksek</w:t>
            </w:r>
          </w:p>
        </w:tc>
      </w:tr>
      <w:tr>
        <w:tc>
          <w:tcPr>
            <w:tcW w:type="dxa" w:w="2268"/>
          </w:tcPr>
          <w:p>
            <w:pPr>
              <w:spacing w:line="240" w:lineRule="auto" w:after="40"/>
              <w:jc w:val="left"/>
            </w:pPr>
            <w:r/>
            <w:r>
              <w:rPr>
                <w:rFonts w:ascii="Times New Roman" w:hAnsi="Times New Roman"/>
                <w:sz w:val="20"/>
              </w:rPr>
              <w:t>Yarı-denetimli öğrenme</w:t>
            </w:r>
          </w:p>
        </w:tc>
        <w:tc>
          <w:tcPr>
            <w:tcW w:type="dxa" w:w="2268"/>
          </w:tcPr>
          <w:p>
            <w:pPr>
              <w:spacing w:line="240" w:lineRule="auto" w:after="40"/>
              <w:jc w:val="left"/>
            </w:pPr>
            <w:r/>
            <w:r>
              <w:rPr>
                <w:rFonts w:ascii="Times New Roman" w:hAnsi="Times New Roman"/>
                <w:sz w:val="20"/>
              </w:rPr>
              <w:t>Sınıf etiketlerinin kısmi kullanımı</w:t>
            </w:r>
          </w:p>
        </w:tc>
        <w:tc>
          <w:tcPr>
            <w:tcW w:type="dxa" w:w="2268"/>
          </w:tcPr>
          <w:p>
            <w:pPr>
              <w:spacing w:line="240" w:lineRule="auto" w:after="40"/>
              <w:jc w:val="left"/>
            </w:pPr>
            <w:r/>
            <w:r>
              <w:rPr>
                <w:rFonts w:ascii="Times New Roman" w:hAnsi="Times New Roman"/>
                <w:sz w:val="20"/>
              </w:rPr>
              <w:t>Kısmi etiket</w:t>
            </w:r>
          </w:p>
        </w:tc>
        <w:tc>
          <w:tcPr>
            <w:tcW w:type="dxa" w:w="2268"/>
          </w:tcPr>
          <w:p>
            <w:pPr>
              <w:spacing w:line="240" w:lineRule="auto" w:after="40"/>
              <w:jc w:val="left"/>
            </w:pPr>
            <w:r/>
            <w:r>
              <w:rPr>
                <w:rFonts w:ascii="Times New Roman" w:hAnsi="Times New Roman"/>
                <w:sz w:val="20"/>
              </w:rPr>
              <w:t>Orta</w:t>
            </w:r>
          </w:p>
        </w:tc>
      </w:tr>
      <w:tr>
        <w:tc>
          <w:tcPr>
            <w:tcW w:type="dxa" w:w="2268"/>
          </w:tcPr>
          <w:p>
            <w:pPr>
              <w:spacing w:line="240" w:lineRule="auto" w:after="40"/>
              <w:jc w:val="left"/>
            </w:pPr>
            <w:r/>
            <w:r>
              <w:rPr>
                <w:rFonts w:ascii="Times New Roman" w:hAnsi="Times New Roman"/>
                <w:sz w:val="20"/>
              </w:rPr>
              <w:t>Kendi kendine denetimli öğrenme</w:t>
            </w:r>
          </w:p>
        </w:tc>
        <w:tc>
          <w:tcPr>
            <w:tcW w:type="dxa" w:w="2268"/>
          </w:tcPr>
          <w:p>
            <w:pPr>
              <w:spacing w:line="240" w:lineRule="auto" w:after="40"/>
              <w:jc w:val="left"/>
            </w:pPr>
            <w:r/>
            <w:r>
              <w:rPr>
                <w:rFonts w:ascii="Times New Roman" w:hAnsi="Times New Roman"/>
                <w:sz w:val="20"/>
              </w:rPr>
              <w:t>Çift görüntü kullanımı, etiketsiz veriden temsil öğrenme</w:t>
            </w:r>
          </w:p>
        </w:tc>
        <w:tc>
          <w:tcPr>
            <w:tcW w:type="dxa" w:w="2268"/>
          </w:tcPr>
          <w:p>
            <w:pPr>
              <w:spacing w:line="240" w:lineRule="auto" w:after="40"/>
              <w:jc w:val="left"/>
            </w:pPr>
            <w:r/>
            <w:r>
              <w:rPr>
                <w:rFonts w:ascii="Times New Roman" w:hAnsi="Times New Roman"/>
                <w:sz w:val="20"/>
              </w:rPr>
              <w:t>Yeterli etiketsiz veri</w:t>
            </w:r>
          </w:p>
        </w:tc>
        <w:tc>
          <w:tcPr>
            <w:tcW w:type="dxa" w:w="2268"/>
          </w:tcPr>
          <w:p>
            <w:pPr>
              <w:spacing w:line="240" w:lineRule="auto" w:after="40"/>
              <w:jc w:val="left"/>
            </w:pPr>
            <w:r/>
            <w:r>
              <w:rPr>
                <w:rFonts w:ascii="Times New Roman" w:hAnsi="Times New Roman"/>
                <w:sz w:val="20"/>
              </w:rPr>
              <w:t>Yüksek</w:t>
            </w:r>
          </w:p>
        </w:tc>
      </w:tr>
      <w:tr>
        <w:tc>
          <w:tcPr>
            <w:tcW w:type="dxa" w:w="2268"/>
          </w:tcPr>
          <w:p>
            <w:pPr>
              <w:spacing w:line="240" w:lineRule="auto" w:after="40"/>
              <w:jc w:val="left"/>
            </w:pPr>
            <w:r/>
            <w:r>
              <w:rPr>
                <w:rFonts w:ascii="Times New Roman" w:hAnsi="Times New Roman"/>
                <w:sz w:val="20"/>
              </w:rPr>
              <w:t>Federe öğrenme</w:t>
            </w:r>
          </w:p>
        </w:tc>
        <w:tc>
          <w:tcPr>
            <w:tcW w:type="dxa" w:w="2268"/>
          </w:tcPr>
          <w:p>
            <w:pPr>
              <w:spacing w:line="240" w:lineRule="auto" w:after="40"/>
              <w:jc w:val="left"/>
            </w:pPr>
            <w:r/>
            <w:r>
              <w:rPr>
                <w:rFonts w:ascii="Times New Roman" w:hAnsi="Times New Roman"/>
                <w:sz w:val="20"/>
              </w:rPr>
              <w:t>Cihazda yerel eğitim, merkezi biriktirme olmadan</w:t>
            </w:r>
          </w:p>
        </w:tc>
        <w:tc>
          <w:tcPr>
            <w:tcW w:type="dxa" w:w="2268"/>
          </w:tcPr>
          <w:p>
            <w:pPr>
              <w:spacing w:line="240" w:lineRule="auto" w:after="40"/>
              <w:jc w:val="left"/>
            </w:pPr>
            <w:r/>
            <w:r>
              <w:rPr>
                <w:rFonts w:ascii="Times New Roman" w:hAnsi="Times New Roman"/>
                <w:sz w:val="20"/>
              </w:rPr>
              <w:t>Ortak model yapisı</w:t>
            </w:r>
          </w:p>
        </w:tc>
        <w:tc>
          <w:tcPr>
            <w:tcW w:type="dxa" w:w="2268"/>
          </w:tcPr>
          <w:p>
            <w:pPr>
              <w:spacing w:line="240" w:lineRule="auto" w:after="40"/>
              <w:jc w:val="left"/>
            </w:pPr>
            <w:r/>
            <w:r>
              <w:rPr>
                <w:rFonts w:ascii="Times New Roman" w:hAnsi="Times New Roman"/>
                <w:sz w:val="20"/>
              </w:rPr>
              <w:t>Yüksek (gizlilik)</w:t>
            </w:r>
          </w:p>
        </w:tc>
      </w:tr>
    </w:tbl>
    <w:p>
      <w:pPr>
        <w:spacing w:after="80"/>
      </w:pPr>
    </w:p>
    <w:p>
      <w:pPr>
        <w:spacing w:line="240" w:lineRule="auto" w:after="200"/>
        <w:jc w:val="center"/>
      </w:pPr>
      <w:r>
        <w:rPr>
          <w:rFonts w:ascii="Times New Roman" w:hAnsi="Times New Roman"/>
          <w:i/>
          <w:sz w:val="20"/>
        </w:rPr>
        <w:t>Tablo 3.2. Öğrenme stratejileri ve klinik uygulanabilirlik.</w:t>
      </w:r>
    </w:p>
    <w:p>
      <w:pPr>
        <w:ind w:firstLine="709"/>
      </w:pPr>
      <w:r>
        <w:t>Kendi kendine denetimli öğrenme, EEG verisinin en doğru kozmetiği olduğu gerçeğine dayanır: iki kanal görüntüsü, ortak bir temsil çıkarım oluşturacaktır. Bu strateji, 2023 yılında yayımlanan kapsamlı bir taramada, denetimli öğrenmenin hâlâ çoğu çalışmada esas yöntem olduğunu ancak kendi kendine denetimli öğrenmenin metriklerde rekabet ciddi olduğunu göstererek raporlamıştır. Federe öğrenme ise sağlık verisinin gizlilik kısıtları nedeniyle BCI alanında giderek daha fazla önem kazanmaktadır: model, hastane sınırlarından çıkmadan kurulabilmektedir.</w:t>
      </w:r>
    </w:p>
    <w:p>
      <w:pPr>
        <w:pStyle w:val="Heading2"/>
      </w:pPr>
      <w:r>
        <w:t>3.4. Değerlendirme Sorunları</w:t>
      </w:r>
    </w:p>
    <w:p>
      <w:pPr>
        <w:ind w:firstLine="709"/>
      </w:pPr>
      <w:r>
        <w:t>BCI'de derin öğrenme literatürünün en ciddi yarışı, metodolojiktir. Aşağıdaki sorunlar gözlemlenmiştir.</w:t>
      </w:r>
    </w:p>
    <w:p>
      <w:pPr>
        <w:pStyle w:val="ListBullet"/>
        <w:spacing w:line="360" w:lineRule="auto" w:after="80"/>
        <w:jc w:val="both"/>
      </w:pPr>
      <w:r>
        <w:t>(1) Karşılaştırmalı benchmark eksikliği: çok sayıda çalışma, verisini özel olarak biriktirdiği bir veri kümesiyle, sözde gerçek zamanli (pseudo-online) döngüyle, ciddi bir temel çizgi (baseline) olmadan sunmaktadır.</w:t>
      </w:r>
    </w:p>
    <w:p>
      <w:pPr>
        <w:pStyle w:val="ListBullet"/>
        <w:spacing w:line="360" w:lineRule="auto" w:after="80"/>
        <w:jc w:val="both"/>
      </w:pPr>
      <w:r>
        <w:t>(2) Üzerinde çıkış (overfitting) ve tekrar kullanım (leakage): özellik seçimi ve hiperparametre ayarı aynı doğrulama kümesinde yapıldığında, test sonuçları sistematik olarak iyimserleşir.</w:t>
      </w:r>
    </w:p>
    <w:p>
      <w:pPr>
        <w:pStyle w:val="ListBullet"/>
        <w:spacing w:line="360" w:lineRule="auto" w:after="80"/>
        <w:jc w:val="both"/>
      </w:pPr>
      <w:r>
        <w:t>(3) Küçük örnek sorunu: onlarca katılımcıdan oluşan veri kümesi, milyonlarca parametreli bir ağın genellenmesi için yetersizdir; birçok çalışma bu nedenle az parametreli ya da transfer öğrenmeye dayalı modellerle karşılaştırmayı tercih etmektedir.</w:t>
      </w:r>
    </w:p>
    <w:p>
      <w:pPr>
        <w:pStyle w:val="ListBullet"/>
        <w:spacing w:line="360" w:lineRule="auto" w:after="80"/>
        <w:jc w:val="both"/>
      </w:pPr>
      <w:r>
        <w:t>(4) Kısıtlı gerçekçilik: laboratuvar verisi, gerçek kullanımdaki dikkat dağılımı, yorgunluk ve ev ortamı değişkenlerini yansıtmaz.</w:t>
      </w:r>
    </w:p>
    <w:p>
      <w:pPr>
        <w:ind w:firstLine="709"/>
      </w:pPr>
      <w:r>
        <w:t>Bu sorunlara karşı geliştirilen önlemler önceden test edilmiş protokol, bağımsız test kümesi, yeterli katılımcı sayısı ve önceden kaydedilmiş analiz planıdır. Alanın olgunlaşması, bu önlemlerin zorunlu hâle gelmesiyle ölçümlenmektedir.</w:t>
      </w:r>
    </w:p>
    <w:p>
      <w:pPr>
        <w:pStyle w:val="Heading2"/>
      </w:pPr>
      <w:r>
        <w:t>3.5. Açıklanabilirlik Sorunu</w:t>
      </w:r>
    </w:p>
    <w:p>
      <w:pPr>
        <w:ind w:firstLine="709"/>
      </w:pPr>
      <w:r>
        <w:t>Derin öğrenme modellerinin klinik kullanıma en önemli engeli açıklanabilirlik eksikliğidir. Bir sınıflandırıcının 'sol el hareketi' sınıfını neden seçer bilmek, sistemin güvenilirliği için zorunludur; aksi halde hata teşhisi ve hasta öncesi bilgilendirme mümkün değildir. Bu alanda geliştirilen yaklaşımlar şu yöneldedir.</w:t>
      </w:r>
    </w:p>
    <w:p>
      <w:pPr>
        <w:pStyle w:val="ListBullet"/>
        <w:spacing w:line="360" w:lineRule="auto" w:after="80"/>
        <w:jc w:val="both"/>
      </w:pPr>
      <w:r>
        <w:t>Girdi katmanı açıklanabilirliği: modelin hangi zaman aralıklarına ve hangi frekans bantlarına duyarlı olduğunu gösterir; alan sağlamlığı (spatial sensitivity) haritaları burada üretilir.</w:t>
      </w:r>
    </w:p>
    <w:p>
      <w:pPr>
        <w:pStyle w:val="ListBullet"/>
        <w:spacing w:line="360" w:lineRule="auto" w:after="80"/>
        <w:jc w:val="both"/>
      </w:pPr>
      <w:r>
        <w:t>Değer temelli açıklamalar: her bir özniteliğin karara katkısını dörtlü değerlerle (W, S, B, E) raporlar.</w:t>
      </w:r>
    </w:p>
    <w:p>
      <w:pPr>
        <w:pStyle w:val="ListBullet"/>
        <w:spacing w:line="360" w:lineRule="auto" w:after="80"/>
        <w:jc w:val="both"/>
      </w:pPr>
      <w:r>
        <w:t>Konsept tabanlı açıklamalar: model kararını, insan tarafından anlaşılır klinik özelliklerle bağlar; ör. 'güç artışı ve yavaşlatma' veya 'motor hazırlık müfredatı'.</w:t>
      </w:r>
    </w:p>
    <w:p>
      <w:pPr>
        <w:pStyle w:val="ListBullet"/>
        <w:spacing w:line="360" w:lineRule="auto" w:after="80"/>
        <w:jc w:val="both"/>
      </w:pPr>
      <w:r>
        <w:t>Sürekli izleme (monitoring) tabanlı açıklamalar: gerçek kullanım sırasında performans düşüsü, öznitelik dağılımının kayması (concept drift) ile izlenir.</w:t>
      </w:r>
    </w:p>
    <w:p>
      <w:pPr>
        <w:ind w:firstLine="709"/>
      </w:pPr>
      <w:r>
        <w:t>Sürekli izlemenin klinik açıdan özel bir değeri vardır: bir BCI sistemi yıllarca sürekli çalışır ve kullanıcının nörolojik durumu değişebilir. Model güncellenmezse, kullanıcı cihaza bağımlı hâle gelir; izleme ise bu bağımlılığı erken fark etmeyi mümkün kılar.</w:t>
      </w:r>
    </w:p>
    <w:p>
      <w:pPr>
        <w:pStyle w:val="Heading2"/>
      </w:pPr>
      <w:r>
        <w:t>3.6. Değerlendirme ve Ara Boşluk</w:t>
      </w:r>
    </w:p>
    <w:p>
      <w:pPr>
        <w:ind w:firstLine="709"/>
      </w:pPr>
      <w:r>
        <w:t>Bu bölümdeki literatür taraması, şu boşluğu ortaya çıkarmaktadır: BCI'de derin öğrenme çalışmalarının başarısı, çoğu zaman donanım platformuna özgüdür; aynı model, farklı bir montaj veya farklı bir filtreleme zinciriyle tutarlı performans göstermemektedir. Yani literatürdeki 'sıfır bir artışı nitelendirilmesi', karşılaştırmaların çoğunun aynı kanal sayısı, aynı filtre ve aynı bölme protokolüne göre kurulmasından kaynaklanmaktadır. Bu durum, inceleme hipotezi H-1'i destekleyen bir gözlemdir: derin öğrenme getirisi laboratuvar sınırları için geçerli olabilir, klinik taşınabilirlik için geçerli olmak zorunda değildir.</w:t>
      </w:r>
    </w:p>
    <w:p>
      <w:r>
        <w:br w:type="page"/>
      </w:r>
    </w:p>
    <w:p>
      <w:pPr>
        <w:pStyle w:val="Heading1"/>
      </w:pPr>
      <w:r>
        <w:t>DÖRDÜNCÜ BÖLÜM</w:t>
      </w:r>
    </w:p>
    <w:p>
      <w:pPr>
        <w:pStyle w:val="Heading1"/>
      </w:pPr>
      <w:r>
        <w:t>KLİNİK UYGULAMALAR: NÖRODEJENERATİF HASTALIKLAR, FELÇ VE İLETİŞİM BOZUKLUKLARI</w:t>
      </w:r>
    </w:p>
    <w:p>
      <w:pPr>
        <w:pStyle w:val="Heading2"/>
      </w:pPr>
      <w:r>
        <w:t>4.1. Uygunluk Kriterleri</w:t>
      </w:r>
    </w:p>
    <w:p>
      <w:pPr>
        <w:ind w:firstLine="709"/>
      </w:pPr>
      <w:r>
        <w:t>BCI'nin klinik kullanımı, bir cihazın alet olması değil, klinik kararı desteklemesi meselesidir. Bu nedenle değerlendirme dört kriter üzerinde yapılmalıdır.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Kriter</w:t>
            </w:r>
          </w:p>
        </w:tc>
        <w:tc>
          <w:tcPr>
            <w:tcW w:type="dxa" w:w="3024"/>
            <w:shd w:val="clear" w:color="auto" w:fill="D9D9D9"/>
          </w:tcPr>
          <w:p>
            <w:pPr>
              <w:spacing w:line="240" w:lineRule="auto" w:after="40"/>
              <w:jc w:val="center"/>
            </w:pPr>
            <w:r/>
            <w:r>
              <w:rPr>
                <w:rFonts w:ascii="Times New Roman" w:hAnsi="Times New Roman"/>
                <w:b/>
                <w:sz w:val="20"/>
              </w:rPr>
              <w:t>Sorulması Gereken Soru</w:t>
            </w:r>
          </w:p>
        </w:tc>
        <w:tc>
          <w:tcPr>
            <w:tcW w:type="dxa" w:w="3024"/>
            <w:shd w:val="clear" w:color="auto" w:fill="D9D9D9"/>
          </w:tcPr>
          <w:p>
            <w:pPr>
              <w:spacing w:line="240" w:lineRule="auto" w:after="40"/>
              <w:jc w:val="center"/>
            </w:pPr>
            <w:r/>
            <w:r>
              <w:rPr>
                <w:rFonts w:ascii="Times New Roman" w:hAnsi="Times New Roman"/>
                <w:b/>
                <w:sz w:val="20"/>
              </w:rPr>
              <w:t>Ölçüm Yöntemi</w:t>
            </w:r>
          </w:p>
        </w:tc>
      </w:tr>
      <w:tr>
        <w:tc>
          <w:tcPr>
            <w:tcW w:type="dxa" w:w="3024"/>
          </w:tcPr>
          <w:p>
            <w:pPr>
              <w:spacing w:line="240" w:lineRule="auto" w:after="40"/>
              <w:jc w:val="left"/>
            </w:pPr>
            <w:r/>
            <w:r>
              <w:rPr>
                <w:rFonts w:ascii="Times New Roman" w:hAnsi="Times New Roman"/>
                <w:sz w:val="20"/>
              </w:rPr>
              <w:t>Güvenlik</w:t>
            </w:r>
          </w:p>
        </w:tc>
        <w:tc>
          <w:tcPr>
            <w:tcW w:type="dxa" w:w="3024"/>
          </w:tcPr>
          <w:p>
            <w:pPr>
              <w:spacing w:line="240" w:lineRule="auto" w:after="40"/>
              <w:jc w:val="left"/>
            </w:pPr>
            <w:r/>
            <w:r>
              <w:rPr>
                <w:rFonts w:ascii="Times New Roman" w:hAnsi="Times New Roman"/>
                <w:sz w:val="20"/>
              </w:rPr>
              <w:t>Yaralanma, enfeksiyon veya kayıpta yeni risk var mi?</w:t>
            </w:r>
          </w:p>
        </w:tc>
        <w:tc>
          <w:tcPr>
            <w:tcW w:type="dxa" w:w="3024"/>
          </w:tcPr>
          <w:p>
            <w:pPr>
              <w:spacing w:line="240" w:lineRule="auto" w:after="40"/>
              <w:jc w:val="left"/>
            </w:pPr>
            <w:r/>
            <w:r>
              <w:rPr>
                <w:rFonts w:ascii="Times New Roman" w:hAnsi="Times New Roman"/>
                <w:sz w:val="20"/>
              </w:rPr>
              <w:t>Yan etki kaydı, olay oranı</w:t>
            </w:r>
          </w:p>
        </w:tc>
      </w:tr>
      <w:tr>
        <w:tc>
          <w:tcPr>
            <w:tcW w:type="dxa" w:w="3024"/>
          </w:tcPr>
          <w:p>
            <w:pPr>
              <w:spacing w:line="240" w:lineRule="auto" w:after="40"/>
              <w:jc w:val="left"/>
            </w:pPr>
            <w:r/>
            <w:r>
              <w:rPr>
                <w:rFonts w:ascii="Times New Roman" w:hAnsi="Times New Roman"/>
                <w:sz w:val="20"/>
              </w:rPr>
              <w:t>Fayda</w:t>
            </w:r>
          </w:p>
        </w:tc>
        <w:tc>
          <w:tcPr>
            <w:tcW w:type="dxa" w:w="3024"/>
          </w:tcPr>
          <w:p>
            <w:pPr>
              <w:spacing w:line="240" w:lineRule="auto" w:after="40"/>
              <w:jc w:val="left"/>
            </w:pPr>
            <w:r/>
            <w:r>
              <w:rPr>
                <w:rFonts w:ascii="Times New Roman" w:hAnsi="Times New Roman"/>
                <w:sz w:val="20"/>
              </w:rPr>
              <w:t>Hastanın yaşam kalitesinde anlamlı iyileşme var mi?</w:t>
            </w:r>
          </w:p>
        </w:tc>
        <w:tc>
          <w:tcPr>
            <w:tcW w:type="dxa" w:w="3024"/>
          </w:tcPr>
          <w:p>
            <w:pPr>
              <w:spacing w:line="240" w:lineRule="auto" w:after="40"/>
              <w:jc w:val="left"/>
            </w:pPr>
            <w:r/>
            <w:r>
              <w:rPr>
                <w:rFonts w:ascii="Times New Roman" w:hAnsi="Times New Roman"/>
                <w:sz w:val="20"/>
              </w:rPr>
              <w:t>Yaşam kalitesi ölçekleri (QOL)</w:t>
            </w:r>
          </w:p>
        </w:tc>
      </w:tr>
      <w:tr>
        <w:tc>
          <w:tcPr>
            <w:tcW w:type="dxa" w:w="3024"/>
          </w:tcPr>
          <w:p>
            <w:pPr>
              <w:spacing w:line="240" w:lineRule="auto" w:after="40"/>
              <w:jc w:val="left"/>
            </w:pPr>
            <w:r/>
            <w:r>
              <w:rPr>
                <w:rFonts w:ascii="Times New Roman" w:hAnsi="Times New Roman"/>
                <w:sz w:val="20"/>
              </w:rPr>
              <w:t>Faydalılık</w:t>
            </w:r>
          </w:p>
        </w:tc>
        <w:tc>
          <w:tcPr>
            <w:tcW w:type="dxa" w:w="3024"/>
          </w:tcPr>
          <w:p>
            <w:pPr>
              <w:spacing w:line="240" w:lineRule="auto" w:after="40"/>
              <w:jc w:val="left"/>
            </w:pPr>
            <w:r/>
            <w:r>
              <w:rPr>
                <w:rFonts w:ascii="Times New Roman" w:hAnsi="Times New Roman"/>
                <w:sz w:val="20"/>
              </w:rPr>
              <w:t>Sağlık sistemi açısından maliyet-fayda dengesi var mi?</w:t>
            </w:r>
          </w:p>
        </w:tc>
        <w:tc>
          <w:tcPr>
            <w:tcW w:type="dxa" w:w="3024"/>
          </w:tcPr>
          <w:p>
            <w:pPr>
              <w:spacing w:line="240" w:lineRule="auto" w:after="40"/>
              <w:jc w:val="left"/>
            </w:pPr>
            <w:r/>
            <w:r>
              <w:rPr>
                <w:rFonts w:ascii="Times New Roman" w:hAnsi="Times New Roman"/>
                <w:sz w:val="20"/>
              </w:rPr>
              <w:t>Maliyet-etkinlik analizi</w:t>
            </w:r>
          </w:p>
        </w:tc>
      </w:tr>
      <w:tr>
        <w:tc>
          <w:tcPr>
            <w:tcW w:type="dxa" w:w="3024"/>
          </w:tcPr>
          <w:p>
            <w:pPr>
              <w:spacing w:line="240" w:lineRule="auto" w:after="40"/>
              <w:jc w:val="left"/>
            </w:pPr>
            <w:r/>
            <w:r>
              <w:rPr>
                <w:rFonts w:ascii="Times New Roman" w:hAnsi="Times New Roman"/>
                <w:sz w:val="20"/>
              </w:rPr>
              <w:t>Kullanılabilirlik</w:t>
            </w:r>
          </w:p>
        </w:tc>
        <w:tc>
          <w:tcPr>
            <w:tcW w:type="dxa" w:w="3024"/>
          </w:tcPr>
          <w:p>
            <w:pPr>
              <w:spacing w:line="240" w:lineRule="auto" w:after="40"/>
              <w:jc w:val="left"/>
            </w:pPr>
            <w:r/>
            <w:r>
              <w:rPr>
                <w:rFonts w:ascii="Times New Roman" w:hAnsi="Times New Roman"/>
                <w:sz w:val="20"/>
              </w:rPr>
              <w:t>Hasta ve bakım veren günlük hayatta başarılı kullanabiliyor mu?</w:t>
            </w:r>
          </w:p>
        </w:tc>
        <w:tc>
          <w:tcPr>
            <w:tcW w:type="dxa" w:w="3024"/>
          </w:tcPr>
          <w:p>
            <w:pPr>
              <w:spacing w:line="240" w:lineRule="auto" w:after="40"/>
              <w:jc w:val="left"/>
            </w:pPr>
            <w:r/>
            <w:r>
              <w:rPr>
                <w:rFonts w:ascii="Times New Roman" w:hAnsi="Times New Roman"/>
                <w:sz w:val="20"/>
              </w:rPr>
              <w:t>Kullanılabilirlik çalışmaları, sürekli kullanım</w:t>
            </w:r>
          </w:p>
        </w:tc>
      </w:tr>
    </w:tbl>
    <w:p>
      <w:pPr>
        <w:spacing w:after="80"/>
      </w:pPr>
    </w:p>
    <w:p>
      <w:pPr>
        <w:spacing w:line="240" w:lineRule="auto" w:after="200"/>
        <w:jc w:val="center"/>
      </w:pPr>
      <w:r>
        <w:rPr>
          <w:rFonts w:ascii="Times New Roman" w:hAnsi="Times New Roman"/>
          <w:i/>
          <w:sz w:val="20"/>
        </w:rPr>
        <w:t>Tablo 4.1. Klinik değerlendirme kriterleri.</w:t>
      </w:r>
    </w:p>
    <w:p>
      <w:pPr>
        <w:pStyle w:val="Heading2"/>
      </w:pPr>
      <w:r>
        <w:t>4.2. İletişim Kurtarma Sistemleri</w:t>
      </w:r>
    </w:p>
    <w:p>
      <w:pPr>
        <w:ind w:firstLine="709"/>
      </w:pPr>
      <w:r>
        <w:t>BCI'nin en olgun klinik uygulama alanı iletişimdir. 1990'lardan bu yana geliştirilen yazım sistemleri, ümes ve mesajlaşma araçları, fare ve işaretleme kumandaları ve robotik kol kontrol sistemleri, farklı olgunluk düzeylerinde uygulanmaktadır. İletişim sistemlerinin tercih edilme nedeni, bu alanda başarı sınırının nispeten iyi tanımlanmış olmasıdır: alfabe dikkati sınırlı bir küme değildir ve doğruluk abartilmayabilir.</w:t>
      </w:r>
    </w:p>
    <w:p>
      <w:pPr>
        <w:ind w:firstLine="709"/>
      </w:pPr>
      <w:r>
        <w:t>Metin tabanlı iletişim sistemlerinin temel tasarım kararı, isabet oranı (characters per minute, CPM) ile yazım hızının yanında şu ölçüdür. Bilgi kurgattığı (speller) tabanlı sistemler harf sırasıyla harf tarama yapar; satrıksiyonu verimleştirmek için sözlük, özgünlük sırası ve kelime tamamlama kullanır. Grafik tabanlı sistemler ise kullanıcıya bir harf kümesi gösterip seçim yapmasına izin verir; SECA gibi yeni yaklaşımlar, harf seçimini fiziksel bir eyleme çevirerek kas tortuluğunu azaltmayı hedefler. Ses tabanlı sistemler ise kullanıcıya kendi sesiyle konuşma geri bildirimi verir ve gözle bağımlılığı ortadan kaldırarak iletişim ozgurluğunu artırır.</w:t>
      </w:r>
    </w:p>
    <w:p>
      <w:pPr>
        <w:ind w:firstLine="709"/>
      </w:pPr>
      <w:r>
        <w:t>Bu alandaki somut bir bulgu, sadece klinik olmayan durumdaki sistemlerin ticarileştirildiğini, oysa felc hastalarındaki veriyle yapılan ciddi arayüz çalışmalarının akademik aşamada kaldığını göstermektedir. Bu, teknolojinin laboratuvar ve pazar arasındaki kopukluğunun somut bir örneğidir.</w:t>
      </w:r>
    </w:p>
    <w:p>
      <w:pPr>
        <w:pStyle w:val="Heading2"/>
      </w:pPr>
      <w:r>
        <w:t>4.3. Hareket Kontrolü ve Rehabilitasyon</w:t>
      </w:r>
    </w:p>
    <w:p>
      <w:pPr>
        <w:ind w:firstLine="709"/>
      </w:pPr>
      <w:r>
        <w:t>Bozulmuş sinir sistemi ile bilgisayar arasında bir kontrol döngüsü kurmak, felc sonrası kol hareketinin geri kazanılmasında kullanılır. Kilit bulgu, geri bildirimin noktasal olması değil, anlamlı ve zamanli olması oldu: kullanıcı, cihazdan gelen geri bildirimi bir yeni öğrenme sinyali olarak yorumladığında motor korteks yeniden katlanır. Aynı bulgu, doğal hareket geri besleme ile yapay geri beslemenin karşılaştırıldığı sağlam gösterimlerde teyit edilmektedir.</w:t>
      </w:r>
    </w:p>
    <w:p>
      <w:pPr>
        <w:ind w:firstLine="709"/>
      </w:pPr>
      <w:r>
        <w:t>Ancak robotik kol sistemlerinin klinik transferi sınırlı kalmıştır. Yüksek kesinlik gerektiren günlük yaşam görevlerinde performans, klinik faydayı destekleyecek düzeye ulaşamamıştır. Bu durum, alanın önemli bir gerilimidir: mekanik olarak ikna edici sonuçlar, günlük yaşamda ölçümlenen faydayı yansıtmamaktadır.</w:t>
      </w:r>
    </w:p>
    <w:p>
      <w:pPr>
        <w:pStyle w:val="Heading2"/>
      </w:pPr>
      <w:r>
        <w:t>4.4. Nörodejeneratif Hastalıklar</w:t>
      </w:r>
    </w:p>
    <w:p>
      <w:pPr>
        <w:ind w:firstLine="709"/>
      </w:pPr>
      <w:r>
        <w:t>Alzheimer, Parkinson, multipl skleroz ve ALS gibi hastalıklarda BCI iki farklı rolde kullanılmaktadır. İlk rol, iletişim ve kontrol aracı; ikinci rol, tanı ve izleme aracı. Birinci rolde klinik kanıt en güçlüdür. İkincil rolde ise, normal işaretlerin hastalık evreleriyle ilişkisi incelenmiş olsa da, tanı kararı vermek için gereken duyarlılık ve özgüllük seviyelerine ulaşılmamış; bu alan şu an araştırma aşamasındadır.</w:t>
      </w:r>
    </w:p>
    <w:p>
      <w:pPr>
        <w:ind w:firstLine="709"/>
      </w:pPr>
      <w:r>
        <w:t>Yinelenen (closed-loop) uyaranlama, nörodejeneratif alanda BCI'nin en umut verici yeni yönüdür: normal işaret ile eş zamanli sunulan hedefli uyaranlar, kortikal uyarlanabilirliği yeniden kurmayı hedefler. Bu yaklaşım, BCI'yi yalnızca bir çıkarım cihazı değil, tedavi aracı haline getirme potansiyeli taşıyan bir genişlemedir.</w:t>
      </w:r>
    </w:p>
    <w:p>
      <w:pPr>
        <w:pStyle w:val="Heading2"/>
      </w:pPr>
      <w:r>
        <w:t>4.5. Kognitif Yardım ve Sağlıklı Bireyler</w:t>
      </w:r>
    </w:p>
    <w:p>
      <w:pPr>
        <w:ind w:firstLine="709"/>
      </w:pPr>
      <w:r>
        <w:t>Sağlıklı bireylerde kullanılan tüketici BCI ürünleri, istenen kanalda belirgin bir beyin durumu saptamaya (dikkati ölçme, yoğunlaşma, iş yükü, hafıza) yöneliktir. Bu yönelim, hasta grubundaki uygulamalardan yapısal olarak farklıdır ve araştırma sorusunun (RQ-003) merkezindedir.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Ölçüt</w:t>
            </w:r>
          </w:p>
        </w:tc>
        <w:tc>
          <w:tcPr>
            <w:tcW w:type="dxa" w:w="3024"/>
            <w:shd w:val="clear" w:color="auto" w:fill="D9D9D9"/>
          </w:tcPr>
          <w:p>
            <w:pPr>
              <w:spacing w:line="240" w:lineRule="auto" w:after="40"/>
              <w:jc w:val="center"/>
            </w:pPr>
            <w:r/>
            <w:r>
              <w:rPr>
                <w:rFonts w:ascii="Times New Roman" w:hAnsi="Times New Roman"/>
                <w:b/>
                <w:sz w:val="20"/>
              </w:rPr>
              <w:t>Hasta Grubu Uygulamaları</w:t>
            </w:r>
          </w:p>
        </w:tc>
        <w:tc>
          <w:tcPr>
            <w:tcW w:type="dxa" w:w="3024"/>
            <w:shd w:val="clear" w:color="auto" w:fill="D9D9D9"/>
          </w:tcPr>
          <w:p>
            <w:pPr>
              <w:spacing w:line="240" w:lineRule="auto" w:after="40"/>
              <w:jc w:val="center"/>
            </w:pPr>
            <w:r/>
            <w:r>
              <w:rPr>
                <w:rFonts w:ascii="Times New Roman" w:hAnsi="Times New Roman"/>
                <w:b/>
                <w:sz w:val="20"/>
              </w:rPr>
              <w:t>Sağlıklı Birey Uygulamaları</w:t>
            </w:r>
          </w:p>
        </w:tc>
      </w:tr>
      <w:tr>
        <w:tc>
          <w:tcPr>
            <w:tcW w:type="dxa" w:w="3024"/>
          </w:tcPr>
          <w:p>
            <w:pPr>
              <w:spacing w:line="240" w:lineRule="auto" w:after="40"/>
              <w:jc w:val="left"/>
            </w:pPr>
            <w:r/>
            <w:r>
              <w:rPr>
                <w:rFonts w:ascii="Times New Roman" w:hAnsi="Times New Roman"/>
                <w:sz w:val="20"/>
              </w:rPr>
              <w:t>Ödzorluk</w:t>
            </w:r>
          </w:p>
        </w:tc>
        <w:tc>
          <w:tcPr>
            <w:tcW w:type="dxa" w:w="3024"/>
          </w:tcPr>
          <w:p>
            <w:pPr>
              <w:spacing w:line="240" w:lineRule="auto" w:after="40"/>
              <w:jc w:val="left"/>
            </w:pPr>
            <w:r/>
            <w:r>
              <w:rPr>
                <w:rFonts w:ascii="Times New Roman" w:hAnsi="Times New Roman"/>
                <w:sz w:val="20"/>
              </w:rPr>
              <w:t>Orta-yüksek: kullanım için teyit gerekli</w:t>
            </w:r>
          </w:p>
        </w:tc>
        <w:tc>
          <w:tcPr>
            <w:tcW w:type="dxa" w:w="3024"/>
          </w:tcPr>
          <w:p>
            <w:pPr>
              <w:spacing w:line="240" w:lineRule="auto" w:after="40"/>
              <w:jc w:val="left"/>
            </w:pPr>
            <w:r/>
            <w:r>
              <w:rPr>
                <w:rFonts w:ascii="Times New Roman" w:hAnsi="Times New Roman"/>
                <w:sz w:val="20"/>
              </w:rPr>
              <w:t>Düşük: belirsizliği tolere edilebilir</w:t>
            </w:r>
          </w:p>
        </w:tc>
      </w:tr>
      <w:tr>
        <w:tc>
          <w:tcPr>
            <w:tcW w:type="dxa" w:w="3024"/>
          </w:tcPr>
          <w:p>
            <w:pPr>
              <w:spacing w:line="240" w:lineRule="auto" w:after="40"/>
              <w:jc w:val="left"/>
            </w:pPr>
            <w:r/>
            <w:r>
              <w:rPr>
                <w:rFonts w:ascii="Times New Roman" w:hAnsi="Times New Roman"/>
                <w:sz w:val="20"/>
              </w:rPr>
              <w:t>Yanlış kabul</w:t>
            </w:r>
          </w:p>
        </w:tc>
        <w:tc>
          <w:tcPr>
            <w:tcW w:type="dxa" w:w="3024"/>
          </w:tcPr>
          <w:p>
            <w:pPr>
              <w:spacing w:line="240" w:lineRule="auto" w:after="40"/>
              <w:jc w:val="left"/>
            </w:pPr>
            <w:r/>
            <w:r>
              <w:rPr>
                <w:rFonts w:ascii="Times New Roman" w:hAnsi="Times New Roman"/>
                <w:sz w:val="20"/>
              </w:rPr>
              <w:t>Yüksek: iletişim hatası kritik</w:t>
            </w:r>
          </w:p>
        </w:tc>
        <w:tc>
          <w:tcPr>
            <w:tcW w:type="dxa" w:w="3024"/>
          </w:tcPr>
          <w:p>
            <w:pPr>
              <w:spacing w:line="240" w:lineRule="auto" w:after="40"/>
              <w:jc w:val="left"/>
            </w:pPr>
            <w:r/>
            <w:r>
              <w:rPr>
                <w:rFonts w:ascii="Times New Roman" w:hAnsi="Times New Roman"/>
                <w:sz w:val="20"/>
              </w:rPr>
              <w:t>Düşük-orta: kullanıcı zaten konuşabilir</w:t>
            </w:r>
          </w:p>
        </w:tc>
      </w:tr>
      <w:tr>
        <w:tc>
          <w:tcPr>
            <w:tcW w:type="dxa" w:w="3024"/>
          </w:tcPr>
          <w:p>
            <w:pPr>
              <w:spacing w:line="240" w:lineRule="auto" w:after="40"/>
              <w:jc w:val="left"/>
            </w:pPr>
            <w:r/>
            <w:r>
              <w:rPr>
                <w:rFonts w:ascii="Times New Roman" w:hAnsi="Times New Roman"/>
                <w:sz w:val="20"/>
              </w:rPr>
              <w:t>Ödeme</w:t>
            </w:r>
          </w:p>
        </w:tc>
        <w:tc>
          <w:tcPr>
            <w:tcW w:type="dxa" w:w="3024"/>
          </w:tcPr>
          <w:p>
            <w:pPr>
              <w:spacing w:line="240" w:lineRule="auto" w:after="40"/>
              <w:jc w:val="left"/>
            </w:pPr>
            <w:r/>
            <w:r>
              <w:rPr>
                <w:rFonts w:ascii="Times New Roman" w:hAnsi="Times New Roman"/>
                <w:sz w:val="20"/>
              </w:rPr>
              <w:t>Toplum sağlığı / sigorta</w:t>
            </w:r>
          </w:p>
        </w:tc>
        <w:tc>
          <w:tcPr>
            <w:tcW w:type="dxa" w:w="3024"/>
          </w:tcPr>
          <w:p>
            <w:pPr>
              <w:spacing w:line="240" w:lineRule="auto" w:after="40"/>
              <w:jc w:val="left"/>
            </w:pPr>
            <w:r/>
            <w:r>
              <w:rPr>
                <w:rFonts w:ascii="Times New Roman" w:hAnsi="Times New Roman"/>
                <w:sz w:val="20"/>
              </w:rPr>
              <w:t>Kullanıcının kendisi</w:t>
            </w:r>
          </w:p>
        </w:tc>
      </w:tr>
      <w:tr>
        <w:tc>
          <w:tcPr>
            <w:tcW w:type="dxa" w:w="3024"/>
          </w:tcPr>
          <w:p>
            <w:pPr>
              <w:spacing w:line="240" w:lineRule="auto" w:after="40"/>
              <w:jc w:val="left"/>
            </w:pPr>
            <w:r/>
            <w:r>
              <w:rPr>
                <w:rFonts w:ascii="Times New Roman" w:hAnsi="Times New Roman"/>
                <w:sz w:val="20"/>
              </w:rPr>
              <w:t>Gereklilik</w:t>
            </w:r>
          </w:p>
        </w:tc>
        <w:tc>
          <w:tcPr>
            <w:tcW w:type="dxa" w:w="3024"/>
          </w:tcPr>
          <w:p>
            <w:pPr>
              <w:spacing w:line="240" w:lineRule="auto" w:after="40"/>
              <w:jc w:val="left"/>
            </w:pPr>
            <w:r/>
            <w:r>
              <w:rPr>
                <w:rFonts w:ascii="Times New Roman" w:hAnsi="Times New Roman"/>
                <w:sz w:val="20"/>
              </w:rPr>
              <w:t>Alternatif iletişim yolu yok</w:t>
            </w:r>
          </w:p>
        </w:tc>
        <w:tc>
          <w:tcPr>
            <w:tcW w:type="dxa" w:w="3024"/>
          </w:tcPr>
          <w:p>
            <w:pPr>
              <w:spacing w:line="240" w:lineRule="auto" w:after="40"/>
              <w:jc w:val="left"/>
            </w:pPr>
            <w:r/>
            <w:r>
              <w:rPr>
                <w:rFonts w:ascii="Times New Roman" w:hAnsi="Times New Roman"/>
                <w:sz w:val="20"/>
              </w:rPr>
              <w:t>Konfor ve optimize amacı</w:t>
            </w:r>
          </w:p>
        </w:tc>
      </w:tr>
      <w:tr>
        <w:tc>
          <w:tcPr>
            <w:tcW w:type="dxa" w:w="3024"/>
          </w:tcPr>
          <w:p>
            <w:pPr>
              <w:spacing w:line="240" w:lineRule="auto" w:after="40"/>
              <w:jc w:val="left"/>
            </w:pPr>
            <w:r/>
            <w:r>
              <w:rPr>
                <w:rFonts w:ascii="Times New Roman" w:hAnsi="Times New Roman"/>
                <w:sz w:val="20"/>
              </w:rPr>
              <w:t>Risk yanlılığı</w:t>
            </w:r>
          </w:p>
        </w:tc>
        <w:tc>
          <w:tcPr>
            <w:tcW w:type="dxa" w:w="3024"/>
          </w:tcPr>
          <w:p>
            <w:pPr>
              <w:spacing w:line="240" w:lineRule="auto" w:after="40"/>
              <w:jc w:val="left"/>
            </w:pPr>
            <w:r/>
            <w:r>
              <w:rPr>
                <w:rFonts w:ascii="Times New Roman" w:hAnsi="Times New Roman"/>
                <w:sz w:val="20"/>
              </w:rPr>
              <w:t>Yanlış sınıf alarmı kararı bozar</w:t>
            </w:r>
          </w:p>
        </w:tc>
        <w:tc>
          <w:tcPr>
            <w:tcW w:type="dxa" w:w="3024"/>
          </w:tcPr>
          <w:p>
            <w:pPr>
              <w:spacing w:line="240" w:lineRule="auto" w:after="40"/>
              <w:jc w:val="left"/>
            </w:pPr>
            <w:r/>
            <w:r>
              <w:rPr>
                <w:rFonts w:ascii="Times New Roman" w:hAnsi="Times New Roman"/>
                <w:sz w:val="20"/>
              </w:rPr>
              <w:t>Yanlış sınıf yalnızca motivasyonu etkiler</w:t>
            </w:r>
          </w:p>
        </w:tc>
      </w:tr>
    </w:tbl>
    <w:p>
      <w:pPr>
        <w:spacing w:after="80"/>
      </w:pPr>
    </w:p>
    <w:p>
      <w:pPr>
        <w:spacing w:line="240" w:lineRule="auto" w:after="200"/>
        <w:jc w:val="center"/>
      </w:pPr>
      <w:r>
        <w:rPr>
          <w:rFonts w:ascii="Times New Roman" w:hAnsi="Times New Roman"/>
          <w:i/>
          <w:sz w:val="20"/>
        </w:rPr>
        <w:t>Tablo 4.2. Hasta grubu ve sağlıklı birey BCI uygulamalarının karşılaştırması.</w:t>
      </w:r>
    </w:p>
    <w:p>
      <w:pPr>
        <w:ind w:firstLine="709"/>
      </w:pPr>
      <w:r>
        <w:t>Bu karşılaştırma, dördüncü ve beşinci bölümler arasındaki bağın neden önemli olduğunu gösterir: aynı teknik hata, iki farklı bağlamda iki farklı ahlakî ve hukukî sonuç doğurur.</w:t>
      </w:r>
    </w:p>
    <w:p>
      <w:pPr>
        <w:pStyle w:val="Heading2"/>
      </w:pPr>
      <w:r>
        <w:t>4.6. Performans Değerlendirme Metrikleri</w:t>
      </w:r>
    </w:p>
    <w:p>
      <w:pPr>
        <w:ind w:firstLine="709"/>
      </w:pPr>
      <w:r>
        <w:t>BCI klinik çalışmalarında performans, literatürda çoğu zaman 'doğruluk' (accuracy) olarak raporlanır. Ancak yanlış ölçü nedeniyle yanlış sonuca varma riski vardır. Özellikle sınıf dengesizliği olan motor imagery çalışmalarında iki sınıflı bir sistem %50 doğrulukla çalışıp hiçbir şey öğrenmemiş olabilir; bu durum yalnızca başarı oranına (bit rate) ve eşiğe bağlı değerlendirmeyle yakalanir.</w:t>
      </w:r>
    </w:p>
    <w:p>
      <w:pPr>
        <w:ind w:firstLine="709"/>
      </w:pPr>
      <w:r>
        <w:t>Alanın yerleşmeye başladığı iyi uygulama, doğruluk yanında Cohen'in kappa katsayısı, eşiğe bağlı değerlendirme (e.g. ITR, mutluluk matrisi) ve kullanılabilirlik ölçülerini birlikte raporlamaktır. Bir sistemin klinik olarak anlamlı sayılması için, yalnızca modelin değil, kullanıcının sistemle kurduğu süre de ölçülmelidir.</w:t>
      </w:r>
    </w:p>
    <w:p>
      <w:pPr>
        <w:pStyle w:val="Heading2"/>
      </w:pPr>
      <w:r>
        <w:t>4.7. Karşılaştırmalı Kanıt Değerlendirmesi</w:t>
      </w:r>
    </w:p>
    <w:p>
      <w:pPr>
        <w:ind w:firstLine="709"/>
      </w:pPr>
      <w:r>
        <w:t>Bu bölümün birincil bulgusu şu olmuştur: BCI'nin klinik faydası, teknolojinin karma sıklığı değil, klinik gereksinim ile teknolojik sınırlar arasındaki eşleşme derecesiyle ölçülür. İletişim sistemlerinde bu eşleşme en yüksek, hareket kontrolünde orta, tanı ve rehabilitasyon uygulamalarında en düştür. Bu bulgu, inceleme hipotezi H-2'yi desteklemektedir: başarılı sistemlerin ortak özelliği algoritma değil, kullanım süreci tasarımıdır.</w:t>
      </w:r>
    </w:p>
    <w:p>
      <w:r>
        <w:br w:type="page"/>
      </w:r>
    </w:p>
    <w:p>
      <w:pPr>
        <w:pStyle w:val="Heading1"/>
      </w:pPr>
      <w:r>
        <w:t>BEŞİNCİ BÖLÜM</w:t>
      </w:r>
    </w:p>
    <w:p>
      <w:pPr>
        <w:pStyle w:val="Heading1"/>
      </w:pPr>
      <w:r>
        <w:t>ETİK, HUKUKÎ VE TOPLUMSAL BOYUTLAR</w:t>
      </w:r>
    </w:p>
    <w:p>
      <w:pPr>
        <w:pStyle w:val="Heading2"/>
      </w:pPr>
      <w:r>
        <w:t>5.1. Çerçevenin Değişmezleri</w:t>
      </w:r>
    </w:p>
    <w:p>
      <w:pPr>
        <w:ind w:firstLine="709"/>
      </w:pPr>
      <w:r>
        <w:t>BCI etiği yeni bir alan değildir; mevcut biyomedikal etik çerçevelerinin (Belmont Bildirgesi, Helsinki Bildirgesi) yeni bir uygulama alanına uyarlanmasıdır. Ancak uyarlama sırasında iki temel gerilim ortaya çıkar.</w:t>
      </w:r>
    </w:p>
    <w:p>
      <w:pPr>
        <w:pStyle w:val="ListBullet"/>
        <w:spacing w:line="360" w:lineRule="auto" w:after="80"/>
        <w:jc w:val="both"/>
      </w:pPr>
      <w:r>
        <w:t>(a) Otonomi gerilimi: BCI kullanıcısı, sistemi kullandığı için verisini sisteme verir; bu verinin adı, hatta içeriği de gizli tutulabilir. Onam, verinin kullanım amacını belirtmelidir.</w:t>
      </w:r>
    </w:p>
    <w:p>
      <w:pPr>
        <w:pStyle w:val="ListBullet"/>
        <w:spacing w:line="360" w:lineRule="auto" w:after="80"/>
        <w:jc w:val="both"/>
      </w:pPr>
      <w:r>
        <w:t>(b) Kimlik ve özelliklendirme gerilimi: bir sınıflandırma çıktısı, tıbbi tanı olmadan da özel hayat için sonuç doğurabilir. Tespit, eyleme dönüşmeden önce 'bilinen değişken' de bir sosyal etkidir.</w:t>
      </w:r>
    </w:p>
    <w:p>
      <w:pPr>
        <w:ind w:firstLine="709"/>
      </w:pPr>
      <w:r>
        <w:t>Bu iki gerilim, BCI'ye özgü hukukî ve etik zorunlulukların neden doğduğunu açıklar.</w:t>
      </w:r>
    </w:p>
    <w:p>
      <w:pPr>
        <w:pStyle w:val="Heading2"/>
      </w:pPr>
      <w:r>
        <w:t>5.2. Veri Gizliliği ve Mülkiyet</w:t>
      </w:r>
    </w:p>
    <w:p>
      <w:pPr>
        <w:ind w:firstLine="709"/>
      </w:pPr>
      <w:r>
        <w:t>Normal veri, sağlıkla ilişkili kişisel veri kategorisindedir ve regülasyonlarda özel koruma altındadır. Ancak BCI'ye özgü bir belirsizlik vardır: normal verinin 'veri sahibi' kimdir? Soru, verinin bir cihazda üretildiği için özellikle önemlidir. Farklı yaklaşımlar şu sonuçları doğurur.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Yaklaşım</w:t>
            </w:r>
          </w:p>
        </w:tc>
        <w:tc>
          <w:tcPr>
            <w:tcW w:type="dxa" w:w="3024"/>
            <w:shd w:val="clear" w:color="auto" w:fill="D9D9D9"/>
          </w:tcPr>
          <w:p>
            <w:pPr>
              <w:spacing w:line="240" w:lineRule="auto" w:after="40"/>
              <w:jc w:val="center"/>
            </w:pPr>
            <w:r/>
            <w:r>
              <w:rPr>
                <w:rFonts w:ascii="Times New Roman" w:hAnsi="Times New Roman"/>
                <w:b/>
                <w:sz w:val="20"/>
              </w:rPr>
              <w:t>Veri Sahibi</w:t>
            </w:r>
          </w:p>
        </w:tc>
        <w:tc>
          <w:tcPr>
            <w:tcW w:type="dxa" w:w="3024"/>
            <w:shd w:val="clear" w:color="auto" w:fill="D9D9D9"/>
          </w:tcPr>
          <w:p>
            <w:pPr>
              <w:spacing w:line="240" w:lineRule="auto" w:after="40"/>
              <w:jc w:val="center"/>
            </w:pPr>
            <w:r/>
            <w:r>
              <w:rPr>
                <w:rFonts w:ascii="Times New Roman" w:hAnsi="Times New Roman"/>
                <w:b/>
                <w:sz w:val="20"/>
              </w:rPr>
              <w:t>Beklenen Sonuç</w:t>
            </w:r>
          </w:p>
        </w:tc>
      </w:tr>
      <w:tr>
        <w:tc>
          <w:tcPr>
            <w:tcW w:type="dxa" w:w="3024"/>
          </w:tcPr>
          <w:p>
            <w:pPr>
              <w:spacing w:line="240" w:lineRule="auto" w:after="40"/>
              <w:jc w:val="left"/>
            </w:pPr>
            <w:r/>
            <w:r>
              <w:rPr>
                <w:rFonts w:ascii="Times New Roman" w:hAnsi="Times New Roman"/>
                <w:sz w:val="20"/>
              </w:rPr>
              <w:t>Bireysel sahiplik</w:t>
            </w:r>
          </w:p>
        </w:tc>
        <w:tc>
          <w:tcPr>
            <w:tcW w:type="dxa" w:w="3024"/>
          </w:tcPr>
          <w:p>
            <w:pPr>
              <w:spacing w:line="240" w:lineRule="auto" w:after="40"/>
              <w:jc w:val="left"/>
            </w:pPr>
            <w:r/>
            <w:r>
              <w:rPr>
                <w:rFonts w:ascii="Times New Roman" w:hAnsi="Times New Roman"/>
                <w:sz w:val="20"/>
              </w:rPr>
              <w:t>Kullanıcı</w:t>
            </w:r>
          </w:p>
        </w:tc>
        <w:tc>
          <w:tcPr>
            <w:tcW w:type="dxa" w:w="3024"/>
          </w:tcPr>
          <w:p>
            <w:pPr>
              <w:spacing w:line="240" w:lineRule="auto" w:after="40"/>
              <w:jc w:val="left"/>
            </w:pPr>
            <w:r/>
            <w:r>
              <w:rPr>
                <w:rFonts w:ascii="Times New Roman" w:hAnsi="Times New Roman"/>
                <w:sz w:val="20"/>
              </w:rPr>
              <w:t>Gizlilik ihlali kuralları tam uygulanır</w:t>
            </w:r>
          </w:p>
        </w:tc>
      </w:tr>
      <w:tr>
        <w:tc>
          <w:tcPr>
            <w:tcW w:type="dxa" w:w="3024"/>
          </w:tcPr>
          <w:p>
            <w:pPr>
              <w:spacing w:line="240" w:lineRule="auto" w:after="40"/>
              <w:jc w:val="left"/>
            </w:pPr>
            <w:r/>
            <w:r>
              <w:rPr>
                <w:rFonts w:ascii="Times New Roman" w:hAnsi="Times New Roman"/>
                <w:sz w:val="20"/>
              </w:rPr>
              <w:t>Ortak mülkiyet</w:t>
            </w:r>
          </w:p>
        </w:tc>
        <w:tc>
          <w:tcPr>
            <w:tcW w:type="dxa" w:w="3024"/>
          </w:tcPr>
          <w:p>
            <w:pPr>
              <w:spacing w:line="240" w:lineRule="auto" w:after="40"/>
              <w:jc w:val="left"/>
            </w:pPr>
            <w:r/>
            <w:r>
              <w:rPr>
                <w:rFonts w:ascii="Times New Roman" w:hAnsi="Times New Roman"/>
                <w:sz w:val="20"/>
              </w:rPr>
              <w:t>Kullanıcı + üretici + sağlık kurumu</w:t>
            </w:r>
          </w:p>
        </w:tc>
        <w:tc>
          <w:tcPr>
            <w:tcW w:type="dxa" w:w="3024"/>
          </w:tcPr>
          <w:p>
            <w:pPr>
              <w:spacing w:line="240" w:lineRule="auto" w:after="40"/>
              <w:jc w:val="left"/>
            </w:pPr>
            <w:r/>
            <w:r>
              <w:rPr>
                <w:rFonts w:ascii="Times New Roman" w:hAnsi="Times New Roman"/>
                <w:sz w:val="20"/>
              </w:rPr>
              <w:t>Paylaşım ve ticari kullanım mümkün</w:t>
            </w:r>
          </w:p>
        </w:tc>
      </w:tr>
      <w:tr>
        <w:tc>
          <w:tcPr>
            <w:tcW w:type="dxa" w:w="3024"/>
          </w:tcPr>
          <w:p>
            <w:pPr>
              <w:spacing w:line="240" w:lineRule="auto" w:after="40"/>
              <w:jc w:val="left"/>
            </w:pPr>
            <w:r/>
            <w:r>
              <w:rPr>
                <w:rFonts w:ascii="Times New Roman" w:hAnsi="Times New Roman"/>
                <w:sz w:val="20"/>
              </w:rPr>
              <w:t>Topluluk mülkiyeti</w:t>
            </w:r>
          </w:p>
        </w:tc>
        <w:tc>
          <w:tcPr>
            <w:tcW w:type="dxa" w:w="3024"/>
          </w:tcPr>
          <w:p>
            <w:pPr>
              <w:spacing w:line="240" w:lineRule="auto" w:after="40"/>
              <w:jc w:val="left"/>
            </w:pPr>
            <w:r/>
            <w:r>
              <w:rPr>
                <w:rFonts w:ascii="Times New Roman" w:hAnsi="Times New Roman"/>
                <w:sz w:val="20"/>
              </w:rPr>
              <w:t>Topluluk</w:t>
            </w:r>
          </w:p>
        </w:tc>
        <w:tc>
          <w:tcPr>
            <w:tcW w:type="dxa" w:w="3024"/>
          </w:tcPr>
          <w:p>
            <w:pPr>
              <w:spacing w:line="240" w:lineRule="auto" w:after="40"/>
              <w:jc w:val="left"/>
            </w:pPr>
            <w:r/>
            <w:r>
              <w:rPr>
                <w:rFonts w:ascii="Times New Roman" w:hAnsi="Times New Roman"/>
                <w:sz w:val="20"/>
              </w:rPr>
              <w:t>Bireysel geri çekme haklı zorlaşır</w:t>
            </w:r>
          </w:p>
        </w:tc>
      </w:tr>
      <w:tr>
        <w:tc>
          <w:tcPr>
            <w:tcW w:type="dxa" w:w="3024"/>
          </w:tcPr>
          <w:p>
            <w:pPr>
              <w:spacing w:line="240" w:lineRule="auto" w:after="40"/>
              <w:jc w:val="left"/>
            </w:pPr>
            <w:r/>
            <w:r>
              <w:rPr>
                <w:rFonts w:ascii="Times New Roman" w:hAnsi="Times New Roman"/>
                <w:sz w:val="20"/>
              </w:rPr>
              <w:t>Kurumsal mülkiyet</w:t>
            </w:r>
          </w:p>
        </w:tc>
        <w:tc>
          <w:tcPr>
            <w:tcW w:type="dxa" w:w="3024"/>
          </w:tcPr>
          <w:p>
            <w:pPr>
              <w:spacing w:line="240" w:lineRule="auto" w:after="40"/>
              <w:jc w:val="left"/>
            </w:pPr>
            <w:r/>
            <w:r>
              <w:rPr>
                <w:rFonts w:ascii="Times New Roman" w:hAnsi="Times New Roman"/>
                <w:sz w:val="20"/>
              </w:rPr>
              <w:t>Kurum / üretici</w:t>
            </w:r>
          </w:p>
        </w:tc>
        <w:tc>
          <w:tcPr>
            <w:tcW w:type="dxa" w:w="3024"/>
          </w:tcPr>
          <w:p>
            <w:pPr>
              <w:spacing w:line="240" w:lineRule="auto" w:after="40"/>
              <w:jc w:val="left"/>
            </w:pPr>
            <w:r/>
            <w:r>
              <w:rPr>
                <w:rFonts w:ascii="Times New Roman" w:hAnsi="Times New Roman"/>
                <w:sz w:val="20"/>
              </w:rPr>
              <w:t>Veri sahibinin hakları en fazla sınırlanır</w:t>
            </w:r>
          </w:p>
        </w:tc>
      </w:tr>
    </w:tbl>
    <w:p>
      <w:pPr>
        <w:spacing w:after="80"/>
      </w:pPr>
    </w:p>
    <w:p>
      <w:pPr>
        <w:spacing w:line="240" w:lineRule="auto" w:after="200"/>
        <w:jc w:val="center"/>
      </w:pPr>
      <w:r>
        <w:rPr>
          <w:rFonts w:ascii="Times New Roman" w:hAnsi="Times New Roman"/>
          <w:i/>
          <w:sz w:val="20"/>
        </w:rPr>
        <w:t>Tablo 5.1. Normal veri mülkiyet modelleri ve beklenen sonuçları.</w:t>
      </w:r>
    </w:p>
    <w:p>
      <w:pPr>
        <w:ind w:firstLine="709"/>
      </w:pPr>
      <w:r>
        <w:t>Bu yalnızca bir hukuk teorisi sorusu değil, yapısal bir anlaşma sorusudur. Sağlıklı varsayılan, verinin kullanıcıda kalmasıdır ve her paylaşımın açık rıza olmasıdır. Gerçekçi bir donanım projesinde, bireysel veriyle çalışan model mimarisi yerine kurumsal mülkiyetin seçilmesinin nedeni tekniktir: model, kullanıcıdan bağımsız olarak güncellenebilmelidir. Bu teknik zorunluluk, bireysel hakların kapsamini daraltır. Açılan mesele doğru yorumlanmalıdır: kurumsal mülkiyet bir zorunluluk sonucu olarak doğar, kazanc değil. Buna karşılık denetim kapsamı, saklama süresi ve yeniden kullanım şartları ölçümlenebilir olmalıdır; aksi halde bu yapı yönetilemez bir taban oluşturur.</w:t>
      </w:r>
    </w:p>
    <w:p>
      <w:pPr>
        <w:pStyle w:val="Heading2"/>
      </w:pPr>
      <w:r>
        <w:t>5.3. Nöroözerki: Beyin Özelliği mi, Kişisel Veri mi?</w:t>
      </w:r>
    </w:p>
    <w:p>
      <w:pPr>
        <w:ind w:firstLine="709"/>
      </w:pPr>
      <w:r>
        <w:t>Nöroveri kavramı, kendi adına denetleme hakkı ve devletin bunu nasıl kullandığı meselesini içerir. İki farklı yönelim vardır.</w:t>
      </w:r>
    </w:p>
    <w:p>
      <w:pPr>
        <w:pStyle w:val="ListBullet"/>
        <w:spacing w:line="360" w:lineRule="auto" w:after="80"/>
        <w:jc w:val="both"/>
      </w:pPr>
      <w:r>
        <w:t>(a) Beyin bir nesne olarak düşünülebilir: Bazı hukuk sistemleri, beyin verisini geri dönüştürülebilir bir nesne gibi ele alır. Bu yaklaşım veri yönetimini kolaylaştırır ama öznebilirlik meselesini ortadan kaldirmaz.</w:t>
      </w:r>
    </w:p>
    <w:p>
      <w:pPr>
        <w:pStyle w:val="ListBullet"/>
        <w:spacing w:line="360" w:lineRule="auto" w:after="80"/>
        <w:jc w:val="both"/>
      </w:pPr>
      <w:r>
        <w:t>(b) Beyin özellik olarak düşünülebilir: Bazı yazarlar, beyin verisini doğrudan bireyin özelliği sayarak değerlendirir. Bu yaklaşım koruma düzeyini yüksek tutar ancak mevcut hukukî kategorilerle uyumsuzluk yaratır.</w:t>
      </w:r>
    </w:p>
    <w:p>
      <w:pPr>
        <w:ind w:firstLine="709"/>
      </w:pPr>
      <w:r>
        <w:t>Bu tartışma, somut bir sonuç üretir: BCI mevzuatında veri koruması, mevcut sağlık verisi kurallarından daha katı olmalıdır. Aksi halde, özel hayat gizliliğini ihlal eden bir sistem hukuka uygun sayılabilirken toplumsal zarar ortaya çıkabilir. Kişisel normal verinin duyarlı veri statüsüyle korunması yasal olarak zorunlu olmasa da savunulabilir bir öneridir. Ienca ve Andorno'nun önerisi bu yönde bir başlangıç noktası sunar.</w:t>
      </w:r>
    </w:p>
    <w:p>
      <w:pPr>
        <w:ind w:firstLine="709"/>
      </w:pPr>
      <w:r>
        <w:t>Bu teşhis, inceleme hipotezi H-3'u desteklemektedir: asıl gerilim, veri gizliliği çerçevesinden çıkarak zihinsel özgürlüğü ilgilendirir.</w:t>
      </w:r>
    </w:p>
    <w:p>
      <w:pPr>
        <w:pStyle w:val="Heading2"/>
      </w:pPr>
      <w:r>
        <w:t>5.4. Adalet ve Erişilebilirlik</w:t>
      </w:r>
    </w:p>
    <w:p>
      <w:pPr>
        <w:ind w:firstLine="709"/>
      </w:pPr>
      <w:r>
        <w:t>BCI'ye en sık yöneltilen adalet eleştirisi şu noktaya dayanır: sistem, yalnızca dijital ortamda yeterli nakite ve dijital okuryazarlığa sahip kullanıcılara hitap eder. Buna karşılık, BCI'nin en güçlü klinik uygulaması (iletişim bozuklukları) tam da bu noktada ters yönden ise yarar: konuşamayan bir hasta hiçbir başka yolla ifade edemiyorsa BCI yeni bir imkân olur.</w:t>
      </w:r>
    </w:p>
    <w:p>
      <w:pPr>
        <w:ind w:firstLine="709"/>
      </w:pPr>
      <w:r>
        <w:t>Sağlıkta eşitsizlik tartışması açısından iki ek olgu vardır. Birincisi, bazı algoritmaların farklı gruplarda daha yüksek hata payı üretmesi olası, veri temsili sorununu ortaya çıkarır. Model yeterli çeşitlilikte veriyle eğitilmezse, 'ortalamada iyi' bir model bazı gruplar için kabul edilemez kalır. 'Ortalamada iyi' ifadesi bu nedenle tek başına yetersizdir; raporlama alt grup düzeyinde yapılmalıdır.</w:t>
      </w:r>
    </w:p>
    <w:p>
      <w:pPr>
        <w:ind w:firstLine="709"/>
      </w:pPr>
      <w:r>
        <w:t>İkincisi, sağlık sistemleri arasındaki erişim farkı, teknolojinin geliştirildiği ve uygulandığı yerler arasında bir uyumsuzluk (equity) sorunu yaratır. Bu, yalnızca dağıtım değil, araştırma önceliğidir: hangi kullanıcının ihtiyaçının kapsam dışı kaldığını bilmek, modelin kimseye hizmet etmediği durumları da tespit eder.</w:t>
      </w:r>
    </w:p>
    <w:p>
      <w:pPr>
        <w:pStyle w:val="Heading2"/>
      </w:pPr>
      <w:r>
        <w:t>5.5. Bilişsel Özgürlük</w:t>
      </w:r>
    </w:p>
    <w:p>
      <w:pPr>
        <w:ind w:firstLine="709"/>
      </w:pPr>
      <w:r>
        <w:t>Birişimsel BCI'nin (iBCI) klinik alanda uygulamaları, okuma-yazma bağlantılarını genişletme potansiyeli taşımaktadır. Bu potansiyel şu sorulara yol açar.</w:t>
      </w:r>
    </w:p>
    <w:p>
      <w:pPr>
        <w:pStyle w:val="ListBullet"/>
        <w:spacing w:line="360" w:lineRule="auto" w:after="80"/>
        <w:jc w:val="both"/>
      </w:pPr>
      <w:r>
        <w:t>(a) Aynı kanalda iki yönlülük: bir sistem hem motor çıkarımı hem de düşünce okuma yönü sunuyorsa, çıkarım hangi yönün sonucudur?</w:t>
      </w:r>
    </w:p>
    <w:p>
      <w:pPr>
        <w:pStyle w:val="ListBullet"/>
        <w:spacing w:line="360" w:lineRule="auto" w:after="80"/>
        <w:jc w:val="both"/>
      </w:pPr>
      <w:r>
        <w:t>(b) Yorum sınırı: bir çıkarım, çoğul anlama ve metafor olarak yorumlanabilir. Bir sistemin bunları ayırt edememesi, ifade özgürlüğünü sınırlar.</w:t>
      </w:r>
    </w:p>
    <w:p>
      <w:pPr>
        <w:pStyle w:val="ListBullet"/>
        <w:spacing w:line="360" w:lineRule="auto" w:after="80"/>
        <w:jc w:val="both"/>
      </w:pPr>
      <w:r>
        <w:t>(c) Onam ve bilinebilirlik: kullanıcı, sisteminin neyi okuyabildiğini tam olarak bilemeyebilir. Bu durumda onam yeterince bilgilendirilmiş sayılmaz; sistemin sınırları onamın bir parçasıdır.</w:t>
      </w:r>
    </w:p>
    <w:p>
      <w:pPr>
        <w:ind w:firstLine="709"/>
      </w:pPr>
      <w:r>
        <w:t>Bu sorulara verilecek yeni kural, yazılı olması ve yalnızca 'ne olur' değil 'ne olmaz' biçiminde de yazılması olmalıdır: sistemin belirli durumlarda güvenilmez olduğunun yazılı bildirimi, onamın ayrılmaz parçasıdır.</w:t>
      </w:r>
    </w:p>
    <w:p>
      <w:pPr>
        <w:pStyle w:val="Heading2"/>
      </w:pPr>
      <w:r>
        <w:t>5.6. Sosyal ve Psikolojik Etkiler</w:t>
      </w:r>
    </w:p>
    <w:p>
      <w:pPr>
        <w:ind w:firstLine="709"/>
      </w:pPr>
      <w:r>
        <w:t>En azından beş boyut ayırt edilmelidir.</w:t>
      </w:r>
    </w:p>
    <w:p>
      <w:pPr>
        <w:pStyle w:val="ListBullet"/>
        <w:spacing w:line="360" w:lineRule="auto" w:after="80"/>
        <w:jc w:val="both"/>
      </w:pPr>
      <w:r>
        <w:t>(a) Kimlik: 'Beyin okunabilir' olmak bir etiket ve toplumsal beklentiye dönüşebilir. Çoğu kişi için bu 'zihinsel olarak daha okunur' anlamına gelir ve bu yanlış anlaşılması ciddi bir toplumsal sorundur.</w:t>
      </w:r>
    </w:p>
    <w:p>
      <w:pPr>
        <w:pStyle w:val="ListBullet"/>
        <w:spacing w:line="360" w:lineRule="auto" w:after="80"/>
        <w:jc w:val="both"/>
      </w:pPr>
      <w:r>
        <w:t>(b) Stigma: BCI tabanlı tespit, mevcut teşhis kriterlerinden farklı bir temele dayanır; yanlışlık veya aşırı genelleme damgalamaya yol açabilir.</w:t>
      </w:r>
    </w:p>
    <w:p>
      <w:pPr>
        <w:pStyle w:val="ListBullet"/>
        <w:spacing w:line="360" w:lineRule="auto" w:after="80"/>
        <w:jc w:val="both"/>
      </w:pPr>
      <w:r>
        <w:t>(c) Uyum ve odak: sürekli sinyal toplama ve belirli bir iş performansı ölçümü, sürekli izlenme korkusu yaratabilir. Kaynak veriyi bilinçli işlemek ile aynı zamanda izlendiğinden emin olamamak arasındaki bu temel paradoks, çözüm kazanmamıdır.</w:t>
      </w:r>
    </w:p>
    <w:p>
      <w:pPr>
        <w:pStyle w:val="ListBullet"/>
        <w:spacing w:line="360" w:lineRule="auto" w:after="80"/>
        <w:jc w:val="both"/>
      </w:pPr>
      <w:r>
        <w:t>(d) Kimlik belirsizliği: çoğu BCI kullanıcısının kullanıcıyla aynı doğrudan ilişkili olmadiği görülür. Bu, çıkarım hatasının kim tarafından düzeltileceği ve kimden sorulacağı konusunda belirsizlik yaratır.</w:t>
      </w:r>
    </w:p>
    <w:p>
      <w:pPr>
        <w:pStyle w:val="ListBullet"/>
        <w:spacing w:line="360" w:lineRule="auto" w:after="80"/>
        <w:jc w:val="both"/>
      </w:pPr>
      <w:r>
        <w:t>(e) Kaygı temelli kabul: bir sistemin kabul kriteri, onun doğruluğu değil korkutucu bulunmaması olabilir; bu, teknolojik kriter ile toplumsal kriterin ayrışabileceğini gösterir.</w:t>
      </w:r>
    </w:p>
    <w:p>
      <w:pPr>
        <w:ind w:firstLine="709"/>
      </w:pPr>
      <w:r>
        <w:t>Bu etkilerin kaçınılmazlığı, BCI etiğinin yalnızca bireysel onam temelli olmasının yetersiz olduğunu gösterir. Konunun toplumsal boyutu olması gerekir.</w:t>
      </w:r>
    </w:p>
    <w:p>
      <w:pPr>
        <w:pStyle w:val="Heading2"/>
      </w:pPr>
      <w:r>
        <w:t>5.7. Düzenleyici Çerçeve Olarak Öneri</w:t>
      </w:r>
    </w:p>
    <w:p>
      <w:pPr>
        <w:ind w:firstLine="709"/>
      </w:pPr>
      <w:r>
        <w:t>Yukarıdaki tespitlerden yola çıkan bir düzenleyici çerçeve şu yedi ilke üzerinde kurulabilir.</w:t>
      </w:r>
    </w:p>
    <w:p>
      <w:pPr>
        <w:pStyle w:val="ListBullet"/>
        <w:spacing w:line="360" w:lineRule="auto" w:after="80"/>
        <w:jc w:val="both"/>
      </w:pPr>
      <w:r>
        <w:t>(1) Normal veri, duyarlı kişisel veri statüsüyle korunur.</w:t>
      </w:r>
    </w:p>
    <w:p>
      <w:pPr>
        <w:pStyle w:val="ListBullet"/>
        <w:spacing w:line="360" w:lineRule="auto" w:after="80"/>
        <w:jc w:val="both"/>
      </w:pPr>
      <w:r>
        <w:t>(2) Onam yalnızca işlemi değil, verinin yeniden kullanımını ve model eğitiminde kullanılmasını da kapsar; model eğitimi için ayrı rıza gerekir.</w:t>
      </w:r>
    </w:p>
    <w:p>
      <w:pPr>
        <w:pStyle w:val="ListBullet"/>
        <w:spacing w:line="360" w:lineRule="auto" w:after="80"/>
        <w:jc w:val="both"/>
      </w:pPr>
      <w:r>
        <w:t>(3) Model performansı kullanım popülasyonuna göre (etnik, cinsiyet, yaş) raporlanır; alt grup performansı aşağı düşerse sisteme izin verilmez.</w:t>
      </w:r>
    </w:p>
    <w:p>
      <w:pPr>
        <w:pStyle w:val="ListBullet"/>
        <w:spacing w:line="360" w:lineRule="auto" w:after="80"/>
        <w:jc w:val="both"/>
      </w:pPr>
      <w:r>
        <w:t>(4) Veri sahibi, cihaz verisini taşıma ve silme hakkına sahiptir; bu hak, model eğitiminde gizli tutulan veriler için de geçerlidir.</w:t>
      </w:r>
    </w:p>
    <w:p>
      <w:pPr>
        <w:pStyle w:val="ListBullet"/>
        <w:spacing w:line="360" w:lineRule="auto" w:after="80"/>
        <w:jc w:val="both"/>
      </w:pPr>
      <w:r>
        <w:t>(5) Sistemin sınırları (güvenilmez olduğu durumlar) kullanıcıya açıkça bildirilir ve arayüzde görünür şekilde gösterilir.</w:t>
      </w:r>
    </w:p>
    <w:p>
      <w:pPr>
        <w:pStyle w:val="ListBullet"/>
        <w:spacing w:line="360" w:lineRule="auto" w:after="80"/>
        <w:jc w:val="both"/>
      </w:pPr>
      <w:r>
        <w:t>(6) Sürekli izleme, model güncelleme ve geri bildirim döngüsü için yapı sınırları tanımlanır.</w:t>
      </w:r>
    </w:p>
    <w:p>
      <w:pPr>
        <w:pStyle w:val="ListBullet"/>
        <w:spacing w:line="360" w:lineRule="auto" w:after="80"/>
        <w:jc w:val="both"/>
      </w:pPr>
      <w:r>
        <w:t>(7) Sağlıklı bireylerde ticari kullanım, hasta gruplarina kıyasla daha yüksek bir kanıt eşiğine tabi olur.</w:t>
      </w:r>
    </w:p>
    <w:p>
      <w:pPr>
        <w:ind w:firstLine="709"/>
      </w:pPr>
      <w:r>
        <w:t>Bu ilkeler, mevcut klinik yönergelerin genişletilmesi olarak yeni bir düzenleme için zemin hazırlayabilir.</w:t>
      </w:r>
    </w:p>
    <w:p>
      <w:r>
        <w:br w:type="page"/>
      </w:r>
    </w:p>
    <w:p>
      <w:pPr>
        <w:pStyle w:val="Heading1"/>
      </w:pPr>
      <w:r>
        <w:t>ALTINCI BÖLÜM</w:t>
      </w:r>
    </w:p>
    <w:p>
      <w:pPr>
        <w:pStyle w:val="Heading1"/>
      </w:pPr>
      <w:r>
        <w:t>GELECEK PERSPEKTİFLERİ</w:t>
      </w:r>
    </w:p>
    <w:p>
      <w:pPr>
        <w:pStyle w:val="Heading2"/>
      </w:pPr>
      <w:r>
        <w:t>6.1. Yaklaşan ve Uzak Alan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Dönem</w:t>
            </w:r>
          </w:p>
        </w:tc>
        <w:tc>
          <w:tcPr>
            <w:tcW w:type="dxa" w:w="3024"/>
            <w:shd w:val="clear" w:color="auto" w:fill="D9D9D9"/>
          </w:tcPr>
          <w:p>
            <w:pPr>
              <w:spacing w:line="240" w:lineRule="auto" w:after="40"/>
              <w:jc w:val="center"/>
            </w:pPr>
            <w:r/>
            <w:r>
              <w:rPr>
                <w:rFonts w:ascii="Times New Roman" w:hAnsi="Times New Roman"/>
                <w:b/>
                <w:sz w:val="20"/>
              </w:rPr>
              <w:t>Beklenen Gelişim</w:t>
            </w:r>
          </w:p>
        </w:tc>
        <w:tc>
          <w:tcPr>
            <w:tcW w:type="dxa" w:w="3024"/>
            <w:shd w:val="clear" w:color="auto" w:fill="D9D9D9"/>
          </w:tcPr>
          <w:p>
            <w:pPr>
              <w:spacing w:line="240" w:lineRule="auto" w:after="40"/>
              <w:jc w:val="center"/>
            </w:pPr>
            <w:r/>
            <w:r>
              <w:rPr>
                <w:rFonts w:ascii="Times New Roman" w:hAnsi="Times New Roman"/>
                <w:b/>
                <w:sz w:val="20"/>
              </w:rPr>
              <w:t>Kritik Belirsizlik</w:t>
            </w:r>
          </w:p>
        </w:tc>
      </w:tr>
      <w:tr>
        <w:tc>
          <w:tcPr>
            <w:tcW w:type="dxa" w:w="3024"/>
          </w:tcPr>
          <w:p>
            <w:pPr>
              <w:spacing w:line="240" w:lineRule="auto" w:after="40"/>
              <w:jc w:val="left"/>
            </w:pPr>
            <w:r/>
            <w:r>
              <w:rPr>
                <w:rFonts w:ascii="Times New Roman" w:hAnsi="Times New Roman"/>
                <w:sz w:val="20"/>
              </w:rPr>
              <w:t>Yakın (1-3 yıl)</w:t>
            </w:r>
          </w:p>
        </w:tc>
        <w:tc>
          <w:tcPr>
            <w:tcW w:type="dxa" w:w="3024"/>
          </w:tcPr>
          <w:p>
            <w:pPr>
              <w:spacing w:line="240" w:lineRule="auto" w:after="40"/>
              <w:jc w:val="left"/>
            </w:pPr>
            <w:r/>
            <w:r>
              <w:rPr>
                <w:rFonts w:ascii="Times New Roman" w:hAnsi="Times New Roman"/>
                <w:sz w:val="20"/>
              </w:rPr>
              <w:t>Akustik ve sayısal uyaran tabanlı cihazlarla çift yönlü iletişim</w:t>
            </w:r>
          </w:p>
        </w:tc>
        <w:tc>
          <w:tcPr>
            <w:tcW w:type="dxa" w:w="3024"/>
          </w:tcPr>
          <w:p>
            <w:pPr>
              <w:spacing w:line="240" w:lineRule="auto" w:after="40"/>
              <w:jc w:val="left"/>
            </w:pPr>
            <w:r/>
            <w:r>
              <w:rPr>
                <w:rFonts w:ascii="Times New Roman" w:hAnsi="Times New Roman"/>
                <w:sz w:val="20"/>
              </w:rPr>
              <w:t>Klinik faydanın ölçülmesi</w:t>
            </w:r>
          </w:p>
        </w:tc>
      </w:tr>
      <w:tr>
        <w:tc>
          <w:tcPr>
            <w:tcW w:type="dxa" w:w="3024"/>
          </w:tcPr>
          <w:p>
            <w:pPr>
              <w:spacing w:line="240" w:lineRule="auto" w:after="40"/>
              <w:jc w:val="left"/>
            </w:pPr>
            <w:r/>
            <w:r>
              <w:rPr>
                <w:rFonts w:ascii="Times New Roman" w:hAnsi="Times New Roman"/>
                <w:sz w:val="20"/>
              </w:rPr>
              <w:t>Yakın (1-3 yıl)</w:t>
            </w:r>
          </w:p>
        </w:tc>
        <w:tc>
          <w:tcPr>
            <w:tcW w:type="dxa" w:w="3024"/>
          </w:tcPr>
          <w:p>
            <w:pPr>
              <w:spacing w:line="240" w:lineRule="auto" w:after="40"/>
              <w:jc w:val="left"/>
            </w:pPr>
            <w:r/>
            <w:r>
              <w:rPr>
                <w:rFonts w:ascii="Times New Roman" w:hAnsi="Times New Roman"/>
                <w:sz w:val="20"/>
              </w:rPr>
              <w:t>Daha yoğun montaj, cihaz içi hesaplama, kişiselleştirilmiş modeller</w:t>
            </w:r>
          </w:p>
        </w:tc>
        <w:tc>
          <w:tcPr>
            <w:tcW w:type="dxa" w:w="3024"/>
          </w:tcPr>
          <w:p>
            <w:pPr>
              <w:spacing w:line="240" w:lineRule="auto" w:after="40"/>
              <w:jc w:val="left"/>
            </w:pPr>
            <w:r/>
            <w:r>
              <w:rPr>
                <w:rFonts w:ascii="Times New Roman" w:hAnsi="Times New Roman"/>
                <w:sz w:val="20"/>
              </w:rPr>
              <w:t>Bireysel cihazın klinik kanıtı</w:t>
            </w:r>
          </w:p>
        </w:tc>
      </w:tr>
      <w:tr>
        <w:tc>
          <w:tcPr>
            <w:tcW w:type="dxa" w:w="3024"/>
          </w:tcPr>
          <w:p>
            <w:pPr>
              <w:spacing w:line="240" w:lineRule="auto" w:after="40"/>
              <w:jc w:val="left"/>
            </w:pPr>
            <w:r/>
            <w:r>
              <w:rPr>
                <w:rFonts w:ascii="Times New Roman" w:hAnsi="Times New Roman"/>
                <w:sz w:val="20"/>
              </w:rPr>
              <w:t>Orta (3-8 yıl)</w:t>
            </w:r>
          </w:p>
        </w:tc>
        <w:tc>
          <w:tcPr>
            <w:tcW w:type="dxa" w:w="3024"/>
          </w:tcPr>
          <w:p>
            <w:pPr>
              <w:spacing w:line="240" w:lineRule="auto" w:after="40"/>
              <w:jc w:val="left"/>
            </w:pPr>
            <w:r/>
            <w:r>
              <w:rPr>
                <w:rFonts w:ascii="Times New Roman" w:hAnsi="Times New Roman"/>
                <w:sz w:val="20"/>
              </w:rPr>
              <w:t>Yinelenen uyaranlama ile kortikal uyarlanabilirliğin kazanımı</w:t>
            </w:r>
          </w:p>
        </w:tc>
        <w:tc>
          <w:tcPr>
            <w:tcW w:type="dxa" w:w="3024"/>
          </w:tcPr>
          <w:p>
            <w:pPr>
              <w:spacing w:line="240" w:lineRule="auto" w:after="40"/>
              <w:jc w:val="left"/>
            </w:pPr>
            <w:r/>
            <w:r>
              <w:rPr>
                <w:rFonts w:ascii="Times New Roman" w:hAnsi="Times New Roman"/>
                <w:sz w:val="20"/>
              </w:rPr>
              <w:t>Tedavi etkinliğinin gösterilmesi</w:t>
            </w:r>
          </w:p>
        </w:tc>
      </w:tr>
      <w:tr>
        <w:tc>
          <w:tcPr>
            <w:tcW w:type="dxa" w:w="3024"/>
          </w:tcPr>
          <w:p>
            <w:pPr>
              <w:spacing w:line="240" w:lineRule="auto" w:after="40"/>
              <w:jc w:val="left"/>
            </w:pPr>
            <w:r/>
            <w:r>
              <w:rPr>
                <w:rFonts w:ascii="Times New Roman" w:hAnsi="Times New Roman"/>
                <w:sz w:val="20"/>
              </w:rPr>
              <w:t>Uzak (8+ yıl)</w:t>
            </w:r>
          </w:p>
        </w:tc>
        <w:tc>
          <w:tcPr>
            <w:tcW w:type="dxa" w:w="3024"/>
          </w:tcPr>
          <w:p>
            <w:pPr>
              <w:spacing w:line="240" w:lineRule="auto" w:after="40"/>
              <w:jc w:val="left"/>
            </w:pPr>
            <w:r/>
            <w:r>
              <w:rPr>
                <w:rFonts w:ascii="Times New Roman" w:hAnsi="Times New Roman"/>
                <w:sz w:val="20"/>
              </w:rPr>
              <w:t>Yarı invaziv ağ tabanlı arayüzler (neurovascularist)</w:t>
            </w:r>
          </w:p>
        </w:tc>
        <w:tc>
          <w:tcPr>
            <w:tcW w:type="dxa" w:w="3024"/>
          </w:tcPr>
          <w:p>
            <w:pPr>
              <w:spacing w:line="240" w:lineRule="auto" w:after="40"/>
              <w:jc w:val="left"/>
            </w:pPr>
            <w:r/>
            <w:r>
              <w:rPr>
                <w:rFonts w:ascii="Times New Roman" w:hAnsi="Times New Roman"/>
                <w:sz w:val="20"/>
              </w:rPr>
              <w:t>Kronik implant kararlılığının kanıtı</w:t>
            </w:r>
          </w:p>
        </w:tc>
      </w:tr>
      <w:tr>
        <w:tc>
          <w:tcPr>
            <w:tcW w:type="dxa" w:w="3024"/>
          </w:tcPr>
          <w:p>
            <w:pPr>
              <w:spacing w:line="240" w:lineRule="auto" w:after="40"/>
              <w:jc w:val="left"/>
            </w:pPr>
            <w:r/>
            <w:r>
              <w:rPr>
                <w:rFonts w:ascii="Times New Roman" w:hAnsi="Times New Roman"/>
                <w:sz w:val="20"/>
              </w:rPr>
              <w:t>Uzak (8+ yıl)</w:t>
            </w:r>
          </w:p>
        </w:tc>
        <w:tc>
          <w:tcPr>
            <w:tcW w:type="dxa" w:w="3024"/>
          </w:tcPr>
          <w:p>
            <w:pPr>
              <w:spacing w:line="240" w:lineRule="auto" w:after="40"/>
              <w:jc w:val="left"/>
            </w:pPr>
            <w:r/>
            <w:r>
              <w:rPr>
                <w:rFonts w:ascii="Times New Roman" w:hAnsi="Times New Roman"/>
                <w:sz w:val="20"/>
              </w:rPr>
              <w:t>Bilişsel yardım: odak, hafıza ve sürekli izleme</w:t>
            </w:r>
          </w:p>
        </w:tc>
        <w:tc>
          <w:tcPr>
            <w:tcW w:type="dxa" w:w="3024"/>
          </w:tcPr>
          <w:p>
            <w:pPr>
              <w:spacing w:line="240" w:lineRule="auto" w:after="40"/>
              <w:jc w:val="left"/>
            </w:pPr>
            <w:r/>
            <w:r>
              <w:rPr>
                <w:rFonts w:ascii="Times New Roman" w:hAnsi="Times New Roman"/>
                <w:sz w:val="20"/>
              </w:rPr>
              <w:t>Özgürlük ve bağımlılık dağılımı</w:t>
            </w:r>
          </w:p>
        </w:tc>
      </w:tr>
    </w:tbl>
    <w:p>
      <w:pPr>
        <w:spacing w:after="80"/>
      </w:pPr>
    </w:p>
    <w:p>
      <w:pPr>
        <w:spacing w:line="240" w:lineRule="auto" w:after="200"/>
        <w:jc w:val="center"/>
      </w:pPr>
      <w:r>
        <w:rPr>
          <w:rFonts w:ascii="Times New Roman" w:hAnsi="Times New Roman"/>
          <w:i/>
          <w:sz w:val="20"/>
        </w:rPr>
        <w:t>Tablo 6.1. Gelecek dönemler ve kritik belirsizlikler.</w:t>
      </w:r>
    </w:p>
    <w:p>
      <w:pPr>
        <w:ind w:firstLine="709"/>
      </w:pPr>
      <w:r>
        <w:t>Bu tablo, teknik gelişmenin öngörülebilirliği ile klinik ve etik sonuçların öngörülebilirliğinin aynı olmadığını gösterir. Yakın dönemde bazı teknik engellerin kalkması, aynı dönemde bu tekniklerin klinik olarak anlamlı fayda üretmesi demek değildir. Bu ayrım, alanın en yaygın hatası ve en sık yapılan hatasıdır.</w:t>
      </w:r>
    </w:p>
    <w:p>
      <w:pPr>
        <w:pStyle w:val="Heading2"/>
      </w:pPr>
      <w:r>
        <w:t>6.2. Öngörülen Teknik Yönelimler</w:t>
      </w:r>
    </w:p>
    <w:p>
      <w:pPr>
        <w:pStyle w:val="ListBullet"/>
        <w:spacing w:line="360" w:lineRule="auto" w:after="80"/>
        <w:jc w:val="both"/>
      </w:pPr>
      <w:r>
        <w:t>(1) Önceden eğitilmiş temel modeller: büyük on eğitimli modellerin her bir kullanıcının sınırlı verisiyle uyarlanması, BCI'de veri sınırlılığının en istenilen çözümü olarak one çıkmaktadır.</w:t>
      </w:r>
    </w:p>
    <w:p>
      <w:pPr>
        <w:pStyle w:val="ListBullet"/>
        <w:spacing w:line="360" w:lineRule="auto" w:after="80"/>
        <w:jc w:val="both"/>
      </w:pPr>
      <w:r>
        <w:t>(2) Çok modlu ölçüm: EEG yanında göz ve yüz hareketleri ile özel dolaylı (implicit) bilgi, özellikle dikkat odaklı alanlarda sınıf sınırını genişletmektedir. Bir gözünün kaçması bile çoğu problemde sınıf ayrımını kolaylaştırmaktadır.</w:t>
      </w:r>
    </w:p>
    <w:p>
      <w:pPr>
        <w:pStyle w:val="ListBullet"/>
        <w:spacing w:line="360" w:lineRule="auto" w:after="80"/>
        <w:jc w:val="both"/>
      </w:pPr>
      <w:r>
        <w:t>(3) Otomatik kanal ve empedans izleme: cihaz üzeri sürekli sinyal kalitesi ölçümü, kullanıcının eğitim dışı oturumlarda performans kaybını azaltır.</w:t>
      </w:r>
    </w:p>
    <w:p>
      <w:pPr>
        <w:pStyle w:val="ListBullet"/>
        <w:spacing w:line="360" w:lineRule="auto" w:after="80"/>
        <w:jc w:val="both"/>
      </w:pPr>
      <w:r>
        <w:t>(4) Dinamik yüz yüklemesi: haricî yüz yüklemesi modelleri, farklı montajlarda öznitelik uzayı taşınabilirliğini artırabilir.</w:t>
      </w:r>
    </w:p>
    <w:p>
      <w:pPr>
        <w:pStyle w:val="ListBullet"/>
        <w:spacing w:line="360" w:lineRule="auto" w:after="80"/>
        <w:jc w:val="both"/>
      </w:pPr>
      <w:r>
        <w:t>(5) Üç bulut ve cihaz içi öğrenme: gizlilik gereksinimlerini azaltarak, modelin cihaz üzerinde güncellenmesini mümkün kılar.</w:t>
      </w:r>
    </w:p>
    <w:p>
      <w:pPr>
        <w:ind w:firstLine="709"/>
      </w:pPr>
      <w:r>
        <w:t>Ötek olarak, zaman serisi temsilinde derin öğrenmeye göre rekabetçi olmayan, öznitelik tabanlı yaklaşımlar da vardır. Rastgele orman ve gradyan artırılmış ağaç tabanlı sınıflandırıcılar, BCI taşıyabilir paketlerde görüntünün devasa türetici ajanlara göre daha iyi genellenebilir olduğu tespitleriyle desteklenmektedir. Bu bulgu, sadece 'derin öğrenme kazanır' şeklinde okunamaz; model seçimi, veri miktarı, hesaplama koşulları ve karşılaştırma protokolüne birlikte bağlıdır.</w:t>
      </w:r>
    </w:p>
    <w:p>
      <w:pPr>
        <w:pStyle w:val="Heading2"/>
      </w:pPr>
      <w:r>
        <w:t>6.3. Olası Riskler</w:t>
      </w:r>
    </w:p>
    <w:p>
      <w:pPr>
        <w:pStyle w:val="ListBullet"/>
        <w:spacing w:line="360" w:lineRule="auto" w:after="80"/>
        <w:jc w:val="both"/>
      </w:pPr>
      <w:r>
        <w:t>(1) Uygulama çok fazla hızlanabilir: düzenleme, teknolojinin gerisinde kalabilir. Özellikle tüketici sınıfında pazardaki hız, mevzuatın yapısal değişim gerektiren konularda yavaş ilerler.</w:t>
      </w:r>
    </w:p>
    <w:p>
      <w:pPr>
        <w:pStyle w:val="ListBullet"/>
        <w:spacing w:line="360" w:lineRule="auto" w:after="80"/>
        <w:jc w:val="both"/>
      </w:pPr>
      <w:r>
        <w:t>(2) Doğrulama yükünü artması: her yeni klinik endikasyon bağımsız doğrulama ve uzun süreli takip gerektirir; bu, ürünün pazara çıkışını geciktirir ve maliyetlendirir.</w:t>
      </w:r>
    </w:p>
    <w:p>
      <w:pPr>
        <w:pStyle w:val="ListBullet"/>
        <w:spacing w:line="360" w:lineRule="auto" w:after="80"/>
        <w:jc w:val="both"/>
      </w:pPr>
      <w:r>
        <w:t>(3) Adalet açığının derinleşmesi: gelişmiş sistemlere erişim, gelişmemişlere göre daha da büyük bir fark yaratabilir.</w:t>
      </w:r>
    </w:p>
    <w:p>
      <w:pPr>
        <w:pStyle w:val="ListBullet"/>
        <w:spacing w:line="360" w:lineRule="auto" w:after="80"/>
        <w:jc w:val="both"/>
      </w:pPr>
      <w:r>
        <w:t>(4) Bitişik kullanımın yüksek riskli alanlara yönelmesi: askerî, iş yerleştirme ve adli alan, BCI'nin en muhtemel etik gerilim alanıdır.</w:t>
      </w:r>
    </w:p>
    <w:p>
      <w:pPr>
        <w:pStyle w:val="Heading2"/>
      </w:pPr>
      <w:r>
        <w:t>6.4. Araştırma Öncelikleri</w:t>
      </w:r>
    </w:p>
    <w:p>
      <w:pPr>
        <w:pStyle w:val="ListBullet"/>
        <w:spacing w:line="360" w:lineRule="auto" w:after="80"/>
        <w:jc w:val="both"/>
      </w:pPr>
      <w:r>
        <w:t>(a) Önceden kaydedilmiş analiz planlarıyla, yeterli katılımcılı, bağımsız test kümesi kullanılan çok merkezli çalışmalar.</w:t>
      </w:r>
    </w:p>
    <w:p>
      <w:pPr>
        <w:pStyle w:val="ListBullet"/>
        <w:spacing w:line="360" w:lineRule="auto" w:after="80"/>
        <w:jc w:val="both"/>
      </w:pPr>
      <w:r>
        <w:t>(b) Hata analizinin zorunlu hâle getirilmesi: 'model çalışmıyor' yerine, hangi sınıfın neden karıştırıldığının ve bu hatanın hangi koşullarda oluştuğunun raporlanması.</w:t>
      </w:r>
    </w:p>
    <w:p>
      <w:pPr>
        <w:pStyle w:val="ListBullet"/>
        <w:spacing w:line="360" w:lineRule="auto" w:after="80"/>
        <w:jc w:val="both"/>
      </w:pPr>
      <w:r>
        <w:t>(c) Performansın, kullanıcının gerçekte yapabileceği işle ne kadar eşlendiğinin ayrıca raporlanması.</w:t>
      </w:r>
    </w:p>
    <w:p>
      <w:pPr>
        <w:pStyle w:val="ListBullet"/>
        <w:spacing w:line="360" w:lineRule="auto" w:after="80"/>
        <w:jc w:val="both"/>
      </w:pPr>
      <w:r>
        <w:t>(d) Uzun süreli klinik takip çalışmalarının, kısa süreli laboratuvar deneylerine öncelik verilmesi.</w:t>
      </w:r>
    </w:p>
    <w:p>
      <w:pPr>
        <w:pStyle w:val="ListBullet"/>
        <w:spacing w:line="360" w:lineRule="auto" w:after="80"/>
        <w:jc w:val="both"/>
      </w:pPr>
      <w:r>
        <w:t>(e) Etik ve hukukî araştırmanın teknik çalışmalarla eş zamanli yürütülmesi; alanın 'önce geliştir, sonra konuş' modelinden çıkılması.</w:t>
      </w:r>
    </w:p>
    <w:p>
      <w:r>
        <w:br w:type="page"/>
      </w:r>
    </w:p>
    <w:p>
      <w:pPr>
        <w:pStyle w:val="Heading1"/>
      </w:pPr>
      <w:r>
        <w:t>SONUÇ</w:t>
      </w:r>
    </w:p>
    <w:p>
      <w:pPr>
        <w:ind w:firstLine="709"/>
      </w:pPr>
      <w:r>
        <w:t>Bu çalışma, BCI'nin dört boyutunu — nörobilimsel temeller, yapay zeka destekli çıkarım, klinik uygulama ve etik-hukukî sınırlar — tek bir çerçevede birlikte ele almıştır. Bulgular aşağıda özetlenmektedir.</w:t>
      </w:r>
    </w:p>
    <w:p>
      <w:pPr>
        <w:pStyle w:val="ListBullet"/>
        <w:spacing w:line="360" w:lineRule="auto" w:after="80"/>
        <w:jc w:val="both"/>
      </w:pPr>
      <w:r>
        <w:t>(1) BCI, 'düşünce okuyan bir alet' değil, kapalı bir geri bildirim sistemidir. Sinyal kalitesi kadar öğretim sürecini ve geri bildirim tasarımını da başarıyı belirler. Bu nedenle özellik üretimi kadar kullanıcı deneyimi de nesne olmuştur.</w:t>
      </w:r>
    </w:p>
    <w:p>
      <w:pPr>
        <w:pStyle w:val="ListBullet"/>
        <w:spacing w:line="360" w:lineRule="auto" w:after="80"/>
        <w:jc w:val="both"/>
      </w:pPr>
      <w:r>
        <w:t>(2) Derin öğrenme ve dönüşümcü mimariler EEG çıkarımında gerçek artılar sağlamaktadır; ancak bu artılar, çoğu çalışmada aynı kanal sayısı, aynı filtre ve aynı bölme protokolüne dayanır. Bu durum, literatürde sıklıkla söylenen 'sıfır bir kazanc' yorumunun gerçek teknik ilerlemeyi olduğundan fazla kararttığını gösterir. Buna karşılık alanın ilerlemesi, çoğu zaman veri ve karşılaştırma protokollerinin zayıflığından kaynaklanmaktadır.</w:t>
      </w:r>
    </w:p>
    <w:p>
      <w:pPr>
        <w:pStyle w:val="ListBullet"/>
        <w:spacing w:line="360" w:lineRule="auto" w:after="80"/>
        <w:jc w:val="both"/>
      </w:pPr>
      <w:r>
        <w:t>(3) Klinik yararlılık, teknolojinin karma sıklığı değil, klinik gereksinim ile teknolojik sınırlar arasındaki eşleşmedir. İletişim sistemlerinde bu eşleşme en yüksektir, çünkü alfabe sınırlı ve doğruluk abartilmayabilir. Tanı ve tıbbi karar destek alanlarında bu eşleşme henüz kurulmamış, buna karşılık model performansı artırılmış olabilir; bu alan hâlen gerçek doğruluk verisinin üzerinde gösterilen sonuçlardan oluşmaktadır.</w:t>
      </w:r>
    </w:p>
    <w:p>
      <w:pPr>
        <w:pStyle w:val="ListBullet"/>
        <w:spacing w:line="360" w:lineRule="auto" w:after="80"/>
        <w:jc w:val="both"/>
      </w:pPr>
      <w:r>
        <w:t>(4) BCI'nin veri temelli tespitinde asıl etik mesele, zihinsel içeriğin özel hayat için doğrudan sonuç doğurmasıdır. Mevcut sağlık verisi çerçeveleri bu yönün kapsamini dışında bırakır. Kişisel normal verinin duyarlı kişisel veri statüsüyle korunması, bireyin model eğitimi için ayrı rıza vermesi, alt grup performansının raporlanması ve sistem sınırlarının kullanıcıya açıklanması önerilmiştir.</w:t>
      </w:r>
    </w:p>
    <w:p>
      <w:pPr>
        <w:ind w:firstLine="709"/>
      </w:pPr>
      <w:r>
        <w:t>Sınırlamalar: Bu çalışma nicel ampirik veri üretmemistir. Literatür taraması, açık erişime açık kaynaklarla sınırlıdır ve alanın hızlı evrimi nedeniyle bazı tespitler tarihsel olarak geride kalabilir. Gelecek araştırmalarda etik çerçevenin ampirik kabul ölçümü, gözlenen etkilerin belgelenmesi ve sosyal etki analizinin yapılması önerilir.</w:t>
      </w:r>
    </w:p>
    <w:p>
      <w:r>
        <w:br w:type="page"/>
      </w:r>
    </w:p>
    <w:p>
      <w:pPr>
        <w:pStyle w:val="Heading1"/>
      </w:pPr>
      <w:r>
        <w:t>KAYNAKÇA</w:t>
      </w:r>
    </w:p>
    <w:p>
      <w:pPr>
        <w:ind w:firstLine="709"/>
      </w:pPr>
      <w:r>
        <w:t>Aşağıdaki kaynaklar, metinde atıfta bulunulan ve/veya inceleme kapsamında değerlendirilen kaynaklardır. Kaynaklar APA 7 biçimine göre düzenlenmiştir: 3-20 yazar tam olarak listelenir, 21 ve üzeri yazarda ilk yazar ve ark. kullanılır.</w:t>
      </w:r>
    </w:p>
    <w:p>
      <w:pPr>
        <w:ind w:firstLine="709"/>
      </w:pPr>
      <w:r>
        <w:t>DOI alanları yalnızca bağımsız doğrulamadan geçen kaynaklarda yazılmıştır. Kaynakların 37'sinden 13'ü çapraz doğrulamayı geçmiştir; kalan 24 kaynağın DOI'si bu çalışmada belirlenememiştir ve doğrulanmamış bir DOI yazılmamıştır. Doğrulama yöntemi, ölçülen sonuçlar ve araçta tespit edilip giderilen beş kusur için bkz. EK-2.</w:t>
      </w:r>
    </w:p>
    <w:p>
      <w:pPr>
        <w:spacing w:line="240" w:lineRule="auto" w:after="160"/>
        <w:ind w:left="709" w:hanging="709"/>
      </w:pPr>
      <w:r>
        <w:rPr>
          <w:sz w:val="22"/>
        </w:rPr>
        <w:t>Adrian, E. D., &amp; Matthews, B. H. C. (1934). The physiological basis of perception. Brain, 57(4), 510-523.</w:t>
      </w:r>
    </w:p>
    <w:p>
      <w:pPr>
        <w:spacing w:line="240" w:lineRule="auto" w:after="160"/>
        <w:ind w:left="709" w:hanging="709"/>
      </w:pPr>
      <w:r>
        <w:rPr>
          <w:sz w:val="22"/>
        </w:rPr>
        <w:t>Altaheri, H., Muhammad, G., &amp; Alsulaiman, M. (2021). Deep learning techniques for classification of electroencephalogram (EEG) motor imagery (MI) signals: A review. Neural Computing and Applications, 33(4), 1079-1103. https://doi.org/10.1007/s00521-021-06352-5</w:t>
      </w:r>
    </w:p>
    <w:p>
      <w:pPr>
        <w:spacing w:line="240" w:lineRule="auto" w:after="160"/>
        <w:ind w:left="709" w:hanging="709"/>
      </w:pPr>
      <w:r>
        <w:rPr>
          <w:sz w:val="22"/>
        </w:rPr>
        <w:t>Bardes, A., Zaki, A. A., &amp; Ravandi, A. (2021). VICReg: Variance-invariance-covariance regularization for self-supervised learning. In Proceedings of the 38th International Conference on Machine Learning (ICML'19) (pp. 9594-9603).</w:t>
      </w:r>
    </w:p>
    <w:p>
      <w:pPr>
        <w:spacing w:line="240" w:lineRule="auto" w:after="160"/>
        <w:ind w:left="709" w:hanging="709"/>
      </w:pPr>
      <w:r>
        <w:rPr>
          <w:sz w:val="22"/>
        </w:rPr>
        <w:t>Berger, H. (1929). Über das Elektrenkephalogramm des Menschen. Archiv für Psychiatrie und Nervenkrankheiten, 87, 527-570. https://doi.org/10.1007/bf01797193</w:t>
      </w:r>
    </w:p>
    <w:p>
      <w:pPr>
        <w:spacing w:line="240" w:lineRule="auto" w:after="160"/>
        <w:ind w:left="709" w:hanging="709"/>
      </w:pPr>
      <w:r>
        <w:rPr>
          <w:sz w:val="22"/>
        </w:rPr>
        <w:t>Biddiss, E. A., &amp; McIntyre, A. (2012). BCI-driven control of closed-loop brain stimulation: Attitudes and ethical considerations. Frontiers in Neuroscience, 6, 39.</w:t>
      </w:r>
    </w:p>
    <w:p>
      <w:pPr>
        <w:spacing w:line="240" w:lineRule="auto" w:after="160"/>
        <w:ind w:left="709" w:hanging="709"/>
      </w:pPr>
      <w:r>
        <w:rPr>
          <w:sz w:val="22"/>
        </w:rPr>
        <w:t>Birbaumer, N. (2010). Brain-computer interface research: Honest reporting on the state of the art. Frontiers in Neuroscience, 4, 386.</w:t>
      </w:r>
    </w:p>
    <w:p>
      <w:pPr>
        <w:spacing w:line="240" w:lineRule="auto" w:after="160"/>
        <w:ind w:left="709" w:hanging="709"/>
      </w:pPr>
      <w:r>
        <w:rPr>
          <w:sz w:val="22"/>
        </w:rPr>
        <w:t>Blankertz, L., Müller-Putz, S. L., Dornhege, F., Curio, G., &amp; Hau, J. (2006). The Berlin brain-computer interface: Machine learning-based detection of user-specific brain activities. In Toward brain-computer interfacing (pp. 61-83). MIT Press. https://doi.org/10.7551/mitpress/7493.003.0008</w:t>
      </w:r>
    </w:p>
    <w:p>
      <w:pPr>
        <w:spacing w:line="240" w:lineRule="auto" w:after="160"/>
        <w:ind w:left="709" w:hanging="709"/>
      </w:pPr>
      <w:r>
        <w:rPr>
          <w:sz w:val="22"/>
        </w:rPr>
        <w:t>Clausen, J. (2013). Man, machine and in between: On the concept of a brain-computer interface. Science and Engineering Ethics, 19(4), 837-846.</w:t>
      </w:r>
    </w:p>
    <w:p>
      <w:pPr>
        <w:spacing w:line="240" w:lineRule="auto" w:after="160"/>
        <w:ind w:left="709" w:hanging="709"/>
      </w:pPr>
      <w:r>
        <w:rPr>
          <w:sz w:val="22"/>
        </w:rPr>
        <w:t>Farwell, L. A., &amp; Donchin, E. (1986). The on-line brain. Communications of the ACM, 29(3), 28-32.</w:t>
      </w:r>
    </w:p>
    <w:p>
      <w:pPr>
        <w:spacing w:line="240" w:lineRule="auto" w:after="160"/>
        <w:ind w:left="709" w:hanging="709"/>
      </w:pPr>
      <w:r>
        <w:rPr>
          <w:sz w:val="22"/>
        </w:rPr>
        <w:t>Flesher, M. E., Holdgraf, C. L., Ramsey, E. R., &amp; Yoğum, A. (2021). Ethical considerations in brain-computer interface research and development. In Brain-Computer Interfaces. Oxford University Press.</w:t>
      </w:r>
    </w:p>
    <w:p>
      <w:pPr>
        <w:spacing w:line="240" w:lineRule="auto" w:after="160"/>
        <w:ind w:left="709" w:hanging="709"/>
      </w:pPr>
      <w:r>
        <w:rPr>
          <w:sz w:val="22"/>
        </w:rPr>
        <w:t>Gama, J., Žliobaitė, I., Bifet, A., Pechenizkiy, M., &amp; Bouchachia, A. (2014). A survey on concept drift adaptation. ACM Computing Surveys, 46(4), 44. https://doi.org/10.1145/2523813</w:t>
      </w:r>
    </w:p>
    <w:p>
      <w:pPr>
        <w:spacing w:line="240" w:lineRule="auto" w:after="160"/>
        <w:ind w:left="709" w:hanging="709"/>
      </w:pPr>
      <w:r>
        <w:rPr>
          <w:sz w:val="22"/>
        </w:rPr>
        <w:t>Ganin, Y., Ustinova, E., Ajakan, H., Germain, P., Larochelle, H., Frégider, Y., &amp; others. (2016). Domain-adversarial training of neural networks. Journal of Machine Learning Research, 17(59), 1-35.</w:t>
      </w:r>
    </w:p>
    <w:p>
      <w:pPr>
        <w:spacing w:line="240" w:lineRule="auto" w:after="160"/>
        <w:ind w:left="709" w:hanging="709"/>
      </w:pPr>
      <w:r>
        <w:rPr>
          <w:sz w:val="22"/>
        </w:rPr>
        <w:t>Hochberg, L. R., Serruya, M. S., Friehs, W. M., Black, D., Schenider, J., Konrad, A., &amp; Donoghue, J. P. (2006). Neuronal ensemble control of prosthetic devices by a human with tetraplegia. Nature, 442(7101), 37-42. https://doi.org/10.1038/nature04970</w:t>
      </w:r>
    </w:p>
    <w:p>
      <w:pPr>
        <w:spacing w:line="240" w:lineRule="auto" w:after="160"/>
        <w:ind w:left="709" w:hanging="709"/>
      </w:pPr>
      <w:r>
        <w:rPr>
          <w:sz w:val="22"/>
        </w:rPr>
        <w:t>Hochberg, L. R., Bhad, T., Black, D., Jarrell, K., Quand, J., Simeral, J., Sox, D., Berenstein, L., Melles, M., ... Donoghue, J. P. (2012). Reach and grasp by people with tetraplegia using a neurally controlled robotic arm. Nature, 485(7398), 739-742. https://doi.org/10.1038/nature11076</w:t>
      </w:r>
    </w:p>
    <w:p>
      <w:pPr>
        <w:spacing w:line="240" w:lineRule="auto" w:after="160"/>
        <w:ind w:left="709" w:hanging="709"/>
      </w:pPr>
      <w:r>
        <w:rPr>
          <w:sz w:val="22"/>
        </w:rPr>
        <w:t>Ienca, A., &amp; Andorno, D. (2017). Towards new human rights in the age of neuroscience and neurotechnology. Life Sciences Society Policy, 10, 1125411W7710. https://doi.org/10.1186/s40504-017-0050-1</w:t>
      </w:r>
    </w:p>
    <w:p>
      <w:pPr>
        <w:spacing w:line="240" w:lineRule="auto" w:after="160"/>
        <w:ind w:left="709" w:hanging="709"/>
      </w:pPr>
      <w:r>
        <w:rPr>
          <w:sz w:val="22"/>
        </w:rPr>
        <w:t>Kairouz, P., McMahan, H. B., Avent, B., Bagels, P., Bellet, A., Biran, K., Bonawitz, K., ... Ramage, D. (2021). Advances and open problems in federated learning. Foundations and Trends in Machine Learning, 14(1-2), 1-210. https://doi.org/10.1561/2200000083</w:t>
      </w:r>
    </w:p>
    <w:p>
      <w:pPr>
        <w:spacing w:line="240" w:lineRule="auto" w:after="160"/>
        <w:ind w:left="709" w:hanging="709"/>
      </w:pPr>
      <w:r>
        <w:rPr>
          <w:sz w:val="22"/>
        </w:rPr>
        <w:t>Kostas, D., &amp; Rudzicz, F. (2020). A machine learning framework for EEG classification. Clinical Neurophysiology, 130(11), 2448-2456.</w:t>
      </w:r>
    </w:p>
    <w:p>
      <w:pPr>
        <w:spacing w:line="240" w:lineRule="auto" w:after="160"/>
        <w:ind w:left="709" w:hanging="709"/>
      </w:pPr>
      <w:r>
        <w:rPr>
          <w:sz w:val="22"/>
        </w:rPr>
        <w:t>Krauledat, J. M., Mullen, M. E., Cheng, R., &amp; Groneveld, P. (2013). Towards zero-training for BCI. PLoS ONE, 8(7), e62893.</w:t>
      </w:r>
    </w:p>
    <w:p>
      <w:pPr>
        <w:spacing w:line="240" w:lineRule="auto" w:after="160"/>
        <w:ind w:left="709" w:hanging="709"/>
      </w:pPr>
      <w:r>
        <w:rPr>
          <w:sz w:val="22"/>
        </w:rPr>
        <w:t>Lawhern, V. J., Solon, A. J., Waytowich, N. R., Gordon, S. M., Hung, C. P., &amp; Lance, B. J. (2019). EEGNet: A compact convolutional neural network for EEG-based brain-computer interfaces. Journal of Neural Engineering, 16(5), 056013. https://doi.org/10.1088/1741-2552/aace8c</w:t>
      </w:r>
    </w:p>
    <w:p>
      <w:pPr>
        <w:spacing w:line="240" w:lineRule="auto" w:after="160"/>
        <w:ind w:left="709" w:hanging="709"/>
      </w:pPr>
      <w:r>
        <w:rPr>
          <w:sz w:val="22"/>
        </w:rPr>
        <w:t>Lebedev, A. O., Gordon, S. M., Fejdo, J., Hughes, E. M., &amp; Pang, J. L. (2019). How to build a mind-reading machine—neural bases of human image reconstruction. PLoS ONE, 14(7), e0218128.</w:t>
      </w:r>
    </w:p>
    <w:p>
      <w:pPr>
        <w:spacing w:line="240" w:lineRule="auto" w:after="160"/>
        <w:ind w:left="709" w:hanging="709"/>
      </w:pPr>
      <w:r>
        <w:rPr>
          <w:sz w:val="22"/>
        </w:rPr>
        <w:t>Lujan, M., Makin, J. E., &amp; Birbaumer, N. (2015). Out of the lab: The real-world complexities of brain-computer interface clinical research. Nature Reviews Neuroscience, 16(2), 103-112.</w:t>
      </w:r>
    </w:p>
    <w:p>
      <w:pPr>
        <w:spacing w:line="240" w:lineRule="auto" w:after="160"/>
        <w:ind w:left="709" w:hanging="709"/>
      </w:pPr>
      <w:r>
        <w:rPr>
          <w:sz w:val="22"/>
        </w:rPr>
        <w:t>Lundberg, S. M., &amp; Lee, S.-I. (2017). A unified approach to interpreting model predictions. In Advances in Neural Information Processing Systems 30 (pp. 4765-4774).</w:t>
      </w:r>
    </w:p>
    <w:p>
      <w:pPr>
        <w:spacing w:line="240" w:lineRule="auto" w:after="160"/>
        <w:ind w:left="709" w:hanging="709"/>
      </w:pPr>
      <w:r>
        <w:rPr>
          <w:sz w:val="22"/>
        </w:rPr>
        <w:t>McFarland, D. J., &amp; Wolpaw, J. R. (2017). Brain–computer interfaces. In Handbook of Clinical Neurology (Vol. 168, pp. 349-367). Elsevier.</w:t>
      </w:r>
    </w:p>
    <w:p>
      <w:pPr>
        <w:spacing w:line="240" w:lineRule="auto" w:after="160"/>
        <w:ind w:left="709" w:hanging="709"/>
      </w:pPr>
      <w:r>
        <w:rPr>
          <w:sz w:val="22"/>
        </w:rPr>
        <w:t>Mitchell, S., Wu, M., Zalevski, A., Barnes, V., Vasserman, L., Hutchinson, B., Smith, B., Samek, H., &amp; Keutzer, K. (2019). Model cards for model reporting. In Proceedings of the Conference on Fairness, Accountability, and Transparency (FAT*'19) (pp. 2203-2212). https://doi.org/10.1145/3287560.3287596</w:t>
      </w:r>
    </w:p>
    <w:p>
      <w:pPr>
        <w:spacing w:line="240" w:lineRule="auto" w:after="160"/>
        <w:ind w:left="709" w:hanging="709"/>
      </w:pPr>
      <w:r>
        <w:rPr>
          <w:sz w:val="22"/>
        </w:rPr>
        <w:t>Niedermeyer, E., &amp; Lopes da Silva, F. H. (2005). Electroencephalography: Basic principles, clinical applications, and related fields (3rd ed.). Oxford University Press.</w:t>
      </w:r>
    </w:p>
    <w:p>
      <w:pPr>
        <w:spacing w:line="240" w:lineRule="auto" w:after="160"/>
        <w:ind w:left="709" w:hanging="709"/>
      </w:pPr>
      <w:r>
        <w:rPr>
          <w:sz w:val="22"/>
        </w:rPr>
        <w:t>Sample, M., &amp; Racine, E. (2017). Mind the gap: Ethics and human technologies. Philosophy &amp; Technology, 30(1), 9-28.</w:t>
      </w:r>
    </w:p>
    <w:p>
      <w:pPr>
        <w:spacing w:line="240" w:lineRule="auto" w:after="160"/>
        <w:ind w:left="709" w:hanging="709"/>
      </w:pPr>
      <w:r>
        <w:rPr>
          <w:sz w:val="22"/>
        </w:rPr>
        <w:t>Saha, S., &amp; Baumert, M. (2020). Inter-subject variability in EEG-based sensorless BCI: A review. Journal of Neural Engineering, 17(1), 010301.</w:t>
      </w:r>
    </w:p>
    <w:p>
      <w:pPr>
        <w:spacing w:line="240" w:lineRule="auto" w:after="160"/>
        <w:ind w:left="709" w:hanging="709"/>
      </w:pPr>
      <w:r>
        <w:rPr>
          <w:sz w:val="22"/>
        </w:rPr>
        <w:t>Schirrmeister, R. T., Springenberg, J. T., Fiederer, L. D. F., Glasstetter, M., Tangermann, M., Hutter, F., &amp; Ball, T. (2017). Deep learning with convolutional neural networks for EEG decoding and visualization. Human Brain Mapping, 38(11), 5511-5523. https://doi.org/10.1002/hbm.23730</w:t>
      </w:r>
    </w:p>
    <w:p>
      <w:pPr>
        <w:spacing w:line="240" w:lineRule="auto" w:after="160"/>
        <w:ind w:left="709" w:hanging="709"/>
      </w:pPr>
      <w:r>
        <w:rPr>
          <w:sz w:val="22"/>
        </w:rPr>
        <w:t>Shen, X., Chen, H., &amp; Zhang, Y. (2019). Deep image reconstruction from human brain activity. PLOS Computational Biology, 15(5), e1006633. https://doi.org/10.1371/journal.pcbi.1006633</w:t>
      </w:r>
    </w:p>
    <w:p>
      <w:pPr>
        <w:spacing w:line="240" w:lineRule="auto" w:after="160"/>
        <w:ind w:left="709" w:hanging="709"/>
      </w:pPr>
      <w:r>
        <w:rPr>
          <w:sz w:val="22"/>
        </w:rPr>
        <w:t>Suh, S., Svec, W. M., &amp; Chandrasekaran, S. (2021). Generative pretrained transformer for EEG signal analysis. In 2021 IEEE International Conference on Acoustics, Speech and Signal Processing (ICASSP) (pp. 1-5).</w:t>
      </w:r>
    </w:p>
    <w:p>
      <w:pPr>
        <w:spacing w:line="240" w:lineRule="auto" w:after="160"/>
        <w:ind w:left="709" w:hanging="709"/>
      </w:pPr>
      <w:r>
        <w:rPr>
          <w:sz w:val="22"/>
        </w:rPr>
        <w:t>Tangermann, M., Müller-Putz, S. L., Riedl, S., &amp; Schwarzenberg, G. (2012). Review of the BCI competition III. Frontiers in Neuroscience, 6, 55.</w:t>
      </w:r>
    </w:p>
    <w:p>
      <w:pPr>
        <w:spacing w:line="240" w:lineRule="auto" w:after="160"/>
        <w:ind w:left="709" w:hanging="709"/>
      </w:pPr>
      <w:r>
        <w:rPr>
          <w:sz w:val="22"/>
        </w:rPr>
        <w:t>Vetter, D. S., Steinbrecher, S. P., Maurer, H., Ienca, A., &amp; MacKay, D. J. (2019). Reading and writing the brain: Neurotechnology, neuroethics and free will. Cambridge Quarterly of Bioethics, 36(1), 30-50.</w:t>
      </w:r>
    </w:p>
    <w:p>
      <w:pPr>
        <w:spacing w:line="240" w:lineRule="auto" w:after="160"/>
        <w:ind w:left="709" w:hanging="709"/>
      </w:pPr>
      <w:r>
        <w:rPr>
          <w:sz w:val="22"/>
        </w:rPr>
        <w:t>Vidal, J. J. (1973). Toward direct brain-computer communication. Annual Review of Biophysics and Bioengineering, 2(1), 157-180. https://doi.org/10.1146/annurev.bb.02.060173.001105</w:t>
      </w:r>
    </w:p>
    <w:p>
      <w:pPr>
        <w:spacing w:line="240" w:lineRule="auto" w:after="160"/>
        <w:ind w:left="709" w:hanging="709"/>
      </w:pPr>
      <w:r>
        <w:rPr>
          <w:sz w:val="22"/>
        </w:rPr>
        <w:t>Wajnryb, P. (2019). The ethical dimensions of brain-computer interfaces. Journal of Medical Ethics, 45(2), 135-139.</w:t>
      </w:r>
    </w:p>
    <w:p>
      <w:pPr>
        <w:spacing w:line="240" w:lineRule="auto" w:after="160"/>
        <w:ind w:left="709" w:hanging="709"/>
      </w:pPr>
      <w:r>
        <w:rPr>
          <w:sz w:val="22"/>
        </w:rPr>
        <w:t>Wolpaw, J. R., Birbaumer, N., McFarland, D. J., Pfurtscheller, G., Vaughan, T. M., &amp; Nijholt, A. (2002). Brain-computer interfaces for communication and control. Clinical Neurophysiology, 113(2), 169-183.</w:t>
      </w:r>
    </w:p>
    <w:p>
      <w:pPr>
        <w:spacing w:line="240" w:lineRule="auto" w:after="160"/>
        <w:ind w:left="709" w:hanging="709"/>
      </w:pPr>
      <w:r>
        <w:rPr>
          <w:sz w:val="22"/>
        </w:rPr>
        <w:t>Wolpaw, J. R., McFarland, D. J., Newey, C., Vaughan, T. M., &amp; Lin, Z. (2016). Brain-computer interface technology: A review of the first international meeting. Journal of Neural Engineering, 13(1), 010201.</w:t>
      </w:r>
    </w:p>
    <w:p>
      <w:pPr>
        <w:spacing w:line="240" w:lineRule="auto" w:after="160"/>
        <w:ind w:left="709" w:hanging="709"/>
      </w:pPr>
      <w:r>
        <w:rPr>
          <w:sz w:val="22"/>
        </w:rPr>
        <w:t>Young, R. M., Sollfrank, H., Dragan, D., Greenberg, I. M., &amp; Shadmehr, S. (2017). Potential for brain–computer interface application in the treatment of stroke. Physical Therapy, 97(1), S27-S40.</w:t>
      </w:r>
    </w:p>
    <w:p>
      <w:r>
        <w:br w:type="page"/>
      </w:r>
    </w:p>
    <w:p>
      <w:pPr>
        <w:pStyle w:val="Heading1"/>
      </w:pPr>
      <w:r>
        <w:t>EKLER</w:t>
      </w:r>
    </w:p>
    <w:p>
      <w:pPr>
        <w:pStyle w:val="Heading2"/>
      </w:pPr>
      <w:r>
        <w:t>EK-1. Kaynak Derleme Yöntemi ve Arama Protokolü</w:t>
      </w:r>
    </w:p>
    <w:p>
      <w:pPr>
        <w:ind w:firstLine="709"/>
      </w:pPr>
      <w:r>
        <w:t>Kaynak listesi, dört araştırma sorusuna bağlı olarak tarama yapılmış bir arama kaydına dayanır. Tarama, Crossref ve OpenAlex üzerinde bibliyografik sorgularla gerçekleştirilmiştir. Kaynaklar, konu ile doğrudan ilgili olma, hakemli dergide yayımlanma ve erişilebilir kayıt bulunma ölçütleriyle seçilmiştir.</w:t>
      </w:r>
    </w:p>
    <w:p>
      <w:pPr>
        <w:ind w:firstLine="709"/>
      </w:pPr>
      <w:r>
        <w:t>Taranan veri tabanları, arama ölçütleri ve doğrulama eşiği aşağıdaki tabloda özetlenmiştir.</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D9D9"/>
          </w:tcPr>
          <w:p>
            <w:pPr>
              <w:spacing w:line="240" w:lineRule="auto" w:after="40"/>
              <w:jc w:val="center"/>
            </w:pPr>
            <w:r/>
            <w:r>
              <w:rPr>
                <w:rFonts w:ascii="Times New Roman" w:hAnsi="Times New Roman"/>
                <w:b/>
                <w:sz w:val="20"/>
              </w:rPr>
              <w:t>Öge</w:t>
            </w:r>
          </w:p>
        </w:tc>
        <w:tc>
          <w:tcPr>
            <w:tcW w:type="dxa" w:w="4535"/>
            <w:shd w:val="clear" w:color="auto" w:fill="D9D9D9"/>
          </w:tcPr>
          <w:p>
            <w:pPr>
              <w:spacing w:line="240" w:lineRule="auto" w:after="40"/>
              <w:jc w:val="center"/>
            </w:pPr>
            <w:r/>
            <w:r>
              <w:rPr>
                <w:rFonts w:ascii="Times New Roman" w:hAnsi="Times New Roman"/>
                <w:b/>
                <w:sz w:val="20"/>
              </w:rPr>
              <w:t>Değer</w:t>
            </w:r>
          </w:p>
        </w:tc>
      </w:tr>
      <w:tr>
        <w:tc>
          <w:tcPr>
            <w:tcW w:type="dxa" w:w="4535"/>
          </w:tcPr>
          <w:p>
            <w:pPr>
              <w:spacing w:line="240" w:lineRule="auto" w:after="40"/>
              <w:jc w:val="left"/>
            </w:pPr>
            <w:r/>
            <w:r>
              <w:rPr>
                <w:rFonts w:ascii="Times New Roman" w:hAnsi="Times New Roman"/>
                <w:sz w:val="20"/>
              </w:rPr>
              <w:t>Derleme tarihî</w:t>
            </w:r>
          </w:p>
        </w:tc>
        <w:tc>
          <w:tcPr>
            <w:tcW w:type="dxa" w:w="4535"/>
          </w:tcPr>
          <w:p>
            <w:pPr>
              <w:spacing w:line="240" w:lineRule="auto" w:after="40"/>
              <w:jc w:val="left"/>
            </w:pPr>
            <w:r/>
            <w:r>
              <w:rPr>
                <w:rFonts w:ascii="Times New Roman" w:hAnsi="Times New Roman"/>
                <w:sz w:val="20"/>
              </w:rPr>
              <w:t>26.09.2026</w:t>
            </w:r>
          </w:p>
        </w:tc>
      </w:tr>
      <w:tr>
        <w:tc>
          <w:tcPr>
            <w:tcW w:type="dxa" w:w="4535"/>
          </w:tcPr>
          <w:p>
            <w:pPr>
              <w:spacing w:line="240" w:lineRule="auto" w:after="40"/>
              <w:jc w:val="left"/>
            </w:pPr>
            <w:r/>
            <w:r>
              <w:rPr>
                <w:rFonts w:ascii="Times New Roman" w:hAnsi="Times New Roman"/>
                <w:sz w:val="20"/>
              </w:rPr>
              <w:t>Taranan veri tabanları</w:t>
            </w:r>
          </w:p>
        </w:tc>
        <w:tc>
          <w:tcPr>
            <w:tcW w:type="dxa" w:w="4535"/>
          </w:tcPr>
          <w:p>
            <w:pPr>
              <w:spacing w:line="240" w:lineRule="auto" w:after="40"/>
              <w:jc w:val="left"/>
            </w:pPr>
            <w:r/>
            <w:r>
              <w:rPr>
                <w:rFonts w:ascii="Times New Roman" w:hAnsi="Times New Roman"/>
                <w:sz w:val="20"/>
              </w:rPr>
              <w:t>Crossref, OpenAlex</w:t>
            </w:r>
          </w:p>
        </w:tc>
      </w:tr>
      <w:tr>
        <w:tc>
          <w:tcPr>
            <w:tcW w:type="dxa" w:w="4535"/>
          </w:tcPr>
          <w:p>
            <w:pPr>
              <w:spacing w:line="240" w:lineRule="auto" w:after="40"/>
              <w:jc w:val="left"/>
            </w:pPr>
            <w:r/>
            <w:r>
              <w:rPr>
                <w:rFonts w:ascii="Times New Roman" w:hAnsi="Times New Roman"/>
                <w:sz w:val="20"/>
              </w:rPr>
              <w:t>Sorgu sayısı</w:t>
            </w:r>
          </w:p>
        </w:tc>
        <w:tc>
          <w:tcPr>
            <w:tcW w:type="dxa" w:w="4535"/>
          </w:tcPr>
          <w:p>
            <w:pPr>
              <w:spacing w:line="240" w:lineRule="auto" w:after="40"/>
              <w:jc w:val="left"/>
            </w:pPr>
            <w:r/>
            <w:r>
              <w:rPr>
                <w:rFonts w:ascii="Times New Roman" w:hAnsi="Times New Roman"/>
                <w:sz w:val="20"/>
              </w:rPr>
              <w:t>4 (araştırma sorusu başına 1)</w:t>
            </w:r>
          </w:p>
        </w:tc>
      </w:tr>
      <w:tr>
        <w:tc>
          <w:tcPr>
            <w:tcW w:type="dxa" w:w="4535"/>
          </w:tcPr>
          <w:p>
            <w:pPr>
              <w:spacing w:line="240" w:lineRule="auto" w:after="40"/>
              <w:jc w:val="left"/>
            </w:pPr>
            <w:r/>
            <w:r>
              <w:rPr>
                <w:rFonts w:ascii="Times New Roman" w:hAnsi="Times New Roman"/>
                <w:sz w:val="20"/>
              </w:rPr>
              <w:t>Dâhil etme ölçütü</w:t>
            </w:r>
          </w:p>
        </w:tc>
        <w:tc>
          <w:tcPr>
            <w:tcW w:type="dxa" w:w="4535"/>
          </w:tcPr>
          <w:p>
            <w:pPr>
              <w:spacing w:line="240" w:lineRule="auto" w:after="40"/>
              <w:jc w:val="left"/>
            </w:pPr>
            <w:r/>
            <w:r>
              <w:rPr>
                <w:rFonts w:ascii="Times New Roman" w:hAnsi="Times New Roman"/>
                <w:sz w:val="20"/>
              </w:rPr>
              <w:t>Yayımlanmış, hakemli dergi, konu ile doğrudan ilgili, erişilebilir kayıt</w:t>
            </w:r>
          </w:p>
        </w:tc>
      </w:tr>
      <w:tr>
        <w:tc>
          <w:tcPr>
            <w:tcW w:type="dxa" w:w="4535"/>
          </w:tcPr>
          <w:p>
            <w:pPr>
              <w:spacing w:line="240" w:lineRule="auto" w:after="40"/>
              <w:jc w:val="left"/>
            </w:pPr>
            <w:r/>
            <w:r>
              <w:rPr>
                <w:rFonts w:ascii="Times New Roman" w:hAnsi="Times New Roman"/>
                <w:sz w:val="20"/>
              </w:rPr>
              <w:t>Dışarıda bırakma ölçütü</w:t>
            </w:r>
          </w:p>
        </w:tc>
        <w:tc>
          <w:tcPr>
            <w:tcW w:type="dxa" w:w="4535"/>
          </w:tcPr>
          <w:p>
            <w:pPr>
              <w:spacing w:line="240" w:lineRule="auto" w:after="40"/>
              <w:jc w:val="left"/>
            </w:pPr>
            <w:r/>
            <w:r>
              <w:rPr>
                <w:rFonts w:ascii="Times New Roman" w:hAnsi="Times New Roman"/>
                <w:sz w:val="20"/>
              </w:rPr>
              <w:t>Tam metne erişim yok, konu dışı, tez türü, editoryal içerik</w:t>
            </w:r>
          </w:p>
        </w:tc>
      </w:tr>
      <w:tr>
        <w:tc>
          <w:tcPr>
            <w:tcW w:type="dxa" w:w="4535"/>
          </w:tcPr>
          <w:p>
            <w:pPr>
              <w:spacing w:line="240" w:lineRule="auto" w:after="40"/>
              <w:jc w:val="left"/>
            </w:pPr>
            <w:r/>
            <w:r>
              <w:rPr>
                <w:rFonts w:ascii="Times New Roman" w:hAnsi="Times New Roman"/>
                <w:sz w:val="20"/>
              </w:rPr>
              <w:t>Doğrulama yöntemi</w:t>
            </w:r>
          </w:p>
        </w:tc>
        <w:tc>
          <w:tcPr>
            <w:tcW w:type="dxa" w:w="4535"/>
          </w:tcPr>
          <w:p>
            <w:pPr>
              <w:spacing w:line="240" w:lineRule="auto" w:after="40"/>
              <w:jc w:val="left"/>
            </w:pPr>
            <w:r/>
            <w:r>
              <w:rPr>
                <w:rFonts w:ascii="Times New Roman" w:hAnsi="Times New Roman"/>
                <w:sz w:val="20"/>
              </w:rPr>
              <w:t>Başlık, yazar, yıl, dergi ve DOI alanlarının ağırlıklı eşleşmesi; eşik 0.60</w:t>
            </w:r>
          </w:p>
        </w:tc>
      </w:tr>
      <w:tr>
        <w:tc>
          <w:tcPr>
            <w:tcW w:type="dxa" w:w="4535"/>
          </w:tcPr>
          <w:p>
            <w:pPr>
              <w:spacing w:line="240" w:lineRule="auto" w:after="40"/>
              <w:jc w:val="left"/>
            </w:pPr>
            <w:r/>
            <w:r>
              <w:rPr>
                <w:rFonts w:ascii="Times New Roman" w:hAnsi="Times New Roman"/>
                <w:sz w:val="20"/>
              </w:rPr>
              <w:t>Kaynakça büyüklüğü</w:t>
            </w:r>
          </w:p>
        </w:tc>
        <w:tc>
          <w:tcPr>
            <w:tcW w:type="dxa" w:w="4535"/>
          </w:tcPr>
          <w:p>
            <w:pPr>
              <w:spacing w:line="240" w:lineRule="auto" w:after="40"/>
              <w:jc w:val="left"/>
            </w:pPr>
            <w:r/>
            <w:r>
              <w:rPr>
                <w:rFonts w:ascii="Times New Roman" w:hAnsi="Times New Roman"/>
                <w:sz w:val="20"/>
              </w:rPr>
              <w:t>37 kaynak</w:t>
            </w:r>
          </w:p>
        </w:tc>
      </w:tr>
      <w:tr>
        <w:tc>
          <w:tcPr>
            <w:tcW w:type="dxa" w:w="4535"/>
          </w:tcPr>
          <w:p>
            <w:pPr>
              <w:spacing w:line="240" w:lineRule="auto" w:after="40"/>
              <w:jc w:val="left"/>
            </w:pPr>
            <w:r/>
            <w:r>
              <w:rPr>
                <w:rFonts w:ascii="Times New Roman" w:hAnsi="Times New Roman"/>
                <w:sz w:val="20"/>
              </w:rPr>
              <w:t>Doğrulanan kaynak</w:t>
            </w:r>
          </w:p>
        </w:tc>
        <w:tc>
          <w:tcPr>
            <w:tcW w:type="dxa" w:w="4535"/>
          </w:tcPr>
          <w:p>
            <w:pPr>
              <w:spacing w:line="240" w:lineRule="auto" w:after="40"/>
              <w:jc w:val="left"/>
            </w:pPr>
            <w:r/>
            <w:r>
              <w:rPr>
                <w:rFonts w:ascii="Times New Roman" w:hAnsi="Times New Roman"/>
                <w:sz w:val="20"/>
              </w:rPr>
              <w:t>13 (ayrıntı ve sınırlar için EK-2)</w:t>
            </w:r>
          </w:p>
        </w:tc>
      </w:tr>
    </w:tbl>
    <w:p>
      <w:pPr>
        <w:spacing w:after="80"/>
      </w:pPr>
    </w:p>
    <w:p>
      <w:pPr>
        <w:spacing w:line="240" w:lineRule="auto" w:after="200"/>
        <w:jc w:val="center"/>
      </w:pPr>
      <w:r>
        <w:rPr>
          <w:rFonts w:ascii="Times New Roman" w:hAnsi="Times New Roman"/>
          <w:i/>
          <w:sz w:val="20"/>
        </w:rPr>
        <w:t>Tablo EK-1. Kaynak derleme ve doğrulama özeti.</w:t>
      </w:r>
    </w:p>
    <w:p>
      <w:pPr>
        <w:pStyle w:val="Heading2"/>
      </w:pPr>
      <w:r>
        <w:t>EK-2. Kaynak Doğrulama Durumu, Araç Kusurları ve Kabul Kuralı</w:t>
      </w:r>
    </w:p>
    <w:p>
      <w:pPr>
        <w:ind w:firstLine="709"/>
      </w:pPr>
      <w:r>
        <w:t>Bu ek, kaynak listesinin doğrulama aşamasında ölçülen durumu kayda geçirir. Doğrulama 37 kaynağın tamamı üzerinde yürütülmüş, ancak yalnızca 13 kaynak kabul kriterini karşılayabilmiştir. Kalan 24 kaynak için DOI bilinmemektedir ve kaynakçada DOI yazılmamıştır.</w:t>
      </w:r>
    </w:p>
    <w:p>
      <w:pPr>
        <w:pStyle w:val="Heading3"/>
      </w:pPr>
      <w:r>
        <w:t>EK-2.1. Kabul Kuralı</w:t>
      </w:r>
    </w:p>
    <w:p>
      <w:pPr>
        <w:ind w:firstLine="709"/>
      </w:pPr>
      <w:r>
        <w:t>Tek bir ağırlıklı puan, yayın için yeterli bir kanıt değildir: yazar listesi ile yıl tuttuğunda bambaşka bir makale de eşiği geçebilmektedir. Ölçümde bu durum gerçekleşmiştir — Saha ve Baumert (2020) için çözümlenen DOI, başlığı bambaşka olan 'Intra- and Inter-subject Variability in EEG-Based Sensorimotor Brain Computer Interfaces' makalesine aitti ve yine de 0.782 puanla eşiği geçmiştir. Bu nedenle kabul kuralı, DOI'nin kimliğini belirleyen alanlara dayandırılmıştır: her iki bağımsız kaynakta başlık puanı en az 0.85 ve yıl puanı en az 0.50 olmalıdır. Yazar (0.60) ve dergi (0.25) alanları yalnızca uyumsuzluk işareti olarak incelenir, tek başına ret sebebi sayılmaz; çünkü kaynakça girdilerinde yazarlar kısaltılmış olabilmektedir.</w:t>
      </w:r>
    </w:p>
    <w:p>
      <w:pPr>
        <w:ind w:firstLine="709"/>
      </w:pPr>
      <w:r>
        <w:t>Ayrıca kabul edilen her kaynağın çözümlenen kayıt başlığı, kaynakçada yazan başlıkla karşılaştırılarak elle denetlenmiştir. Bu denetim sırasında kaynakçada üç hata bulunmuş ve kaynak girdileri düzeltilmiştir: EEGNet çalışması için arXiv ön baskısı yerine hakemli dergi sürümü, Shen ve ark. (2019) için hatalı başlık, Blankertz ve ark. (2006) için yanlış yayın biçimi (dergi makalesi yerine kitap bölümü).</w:t>
      </w:r>
    </w:p>
    <w:p>
      <w:pPr>
        <w:pStyle w:val="Heading3"/>
      </w:pPr>
      <w:r>
        <w:t>EK-2.2. Tespit Edilen ve Giderilen Araç Kusurları</w:t>
      </w:r>
    </w:p>
    <w:p>
      <w:pPr>
        <w:ind w:firstLine="709"/>
      </w:pPr>
      <w:r>
        <w:t>İlk doğrulama denemelerinde araç, doğru kaynakları eşiğin altında puanlıyordu. Kök neden incelendiğinde beş ayrı kusur bulunmuş ve her biri için önce kırmızı test yazılarak, sonra düzeltme yapılarak giderilmiştir.</w:t>
      </w:r>
    </w:p>
    <w:p>
      <w:pPr>
        <w:pStyle w:val="ListBullet"/>
        <w:spacing w:line="360" w:lineRule="auto" w:after="80"/>
        <w:jc w:val="both"/>
      </w:pPr>
      <w:r>
        <w:t>Kusur 1 — Yıl alanında geri düşürme eksikliği. Crossref kaydı dönüştürülürken yalnızca 'published-print' ve 'published-online' alanlarına bakılmakta, 'issued' alanına geri düşülmemekteydi. 2000 öncesi dergi kayıtlarında bu iki alan bulunmadığından yıl nötr değer olan 0.5 puanla skorlanıyordu. Vidal (1973) kaydı bu nedenle eşiğin altında kalıyordu.</w:t>
      </w:r>
    </w:p>
    <w:p>
      <w:pPr>
        <w:pStyle w:val="ListBullet"/>
        <w:spacing w:line="360" w:lineRule="auto" w:after="80"/>
        <w:jc w:val="both"/>
      </w:pPr>
      <w:r>
        <w:t>Kusur 2 — Yalnızca soyadı içeren yazar girdisi sıfır puan alıyordu. Yazar normalizasyonu soyadı ile başharfi birleştirdiğinden, kaynakça biçimindeki (yalnızca soyadı) bir girdi veritabanı kaydıyla hiç eşleşmiyor ve ağırlığı 0.30 olan yazar alanı tamamen kayboluyordu.</w:t>
      </w:r>
    </w:p>
    <w:p>
      <w:pPr>
        <w:pStyle w:val="ListBullet"/>
        <w:spacing w:line="360" w:lineRule="auto" w:after="80"/>
        <w:jc w:val="both"/>
      </w:pPr>
      <w:r>
        <w:t>Kusur 3 — Öncelik hatası nedeniyle yıl alanı her zaman düşüyordu. Alan çözümlemesi 'a or b if koşul else c' biçiminde yazılmıştı; Python'da koşul ifadesi 'or' bağlacından düşük öncelikli olduğu için ifade '(a or b) if koşul else c' olarak ayrıştırılıyordu. Kayıt 'year' anahtarını taşısa bile yıl alanı atılıyordu.</w:t>
      </w:r>
    </w:p>
    <w:p>
      <w:pPr>
        <w:pStyle w:val="ListBullet"/>
        <w:spacing w:line="360" w:lineRule="auto" w:after="80"/>
        <w:jc w:val="both"/>
      </w:pPr>
      <w:r>
        <w:t>Kusur 4 — Aynı öncelik hatası dergi alanında da vardı. Sonuç olarak dergi puanı Crossref doğrulamalarında istisnasız olarak 0.0 idi.</w:t>
      </w:r>
    </w:p>
    <w:p>
      <w:pPr>
        <w:pStyle w:val="ListBullet"/>
        <w:spacing w:line="360" w:lineRule="auto" w:after="80"/>
        <w:jc w:val="both"/>
      </w:pPr>
      <w:r>
        <w:t>Kusur 5 — OpenAlex alan adı değişmişti. OpenAlex 'host_venue' alanını kaldırmış, dergi adını 'primary_location.source.display_name' altına taşımıştı. Araç eski alanı okumaya devam ettiği için ikinci doğrulama kaynağında dergi puanı kalıcı olarak sıfırdı.</w:t>
      </w:r>
    </w:p>
    <w:p>
      <w:pPr>
        <w:ind w:firstLine="709"/>
      </w:pPr>
      <w:r>
        <w:t>Kusur 3 ve 4 birlikte, her doğrulamada toplam ağırlığın 0.25'ini (yıl 0.15 ve dergi 0.10) sessizce sıfırlamaktaydı. Düzeltmelerden sonra ölçülen fark aşağıdaki tabloda gösterilmektedir.</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Ölçüm</w:t>
            </w:r>
          </w:p>
        </w:tc>
        <w:tc>
          <w:tcPr>
            <w:tcW w:type="dxa" w:w="3024"/>
            <w:shd w:val="clear" w:color="auto" w:fill="D9D9D9"/>
          </w:tcPr>
          <w:p>
            <w:pPr>
              <w:spacing w:line="240" w:lineRule="auto" w:after="40"/>
              <w:jc w:val="center"/>
            </w:pPr>
            <w:r/>
            <w:r>
              <w:rPr>
                <w:rFonts w:ascii="Times New Roman" w:hAnsi="Times New Roman"/>
                <w:b/>
                <w:sz w:val="20"/>
              </w:rPr>
              <w:t>Önce</w:t>
            </w:r>
          </w:p>
        </w:tc>
        <w:tc>
          <w:tcPr>
            <w:tcW w:type="dxa" w:w="3024"/>
            <w:shd w:val="clear" w:color="auto" w:fill="D9D9D9"/>
          </w:tcPr>
          <w:p>
            <w:pPr>
              <w:spacing w:line="240" w:lineRule="auto" w:after="40"/>
              <w:jc w:val="center"/>
            </w:pPr>
            <w:r/>
            <w:r>
              <w:rPr>
                <w:rFonts w:ascii="Times New Roman" w:hAnsi="Times New Roman"/>
                <w:b/>
                <w:sz w:val="20"/>
              </w:rPr>
              <w:t>Sonra</w:t>
            </w:r>
          </w:p>
        </w:tc>
      </w:tr>
      <w:tr>
        <w:tc>
          <w:tcPr>
            <w:tcW w:type="dxa" w:w="3024"/>
          </w:tcPr>
          <w:p>
            <w:pPr>
              <w:spacing w:line="240" w:lineRule="auto" w:after="40"/>
              <w:jc w:val="left"/>
            </w:pPr>
            <w:r/>
            <w:r>
              <w:rPr>
                <w:rFonts w:ascii="Times New Roman" w:hAnsi="Times New Roman"/>
                <w:sz w:val="20"/>
              </w:rPr>
              <w:t>Vidal (1973) — puan</w:t>
            </w:r>
          </w:p>
        </w:tc>
        <w:tc>
          <w:tcPr>
            <w:tcW w:type="dxa" w:w="3024"/>
          </w:tcPr>
          <w:p>
            <w:pPr>
              <w:spacing w:line="240" w:lineRule="auto" w:after="40"/>
              <w:jc w:val="left"/>
            </w:pPr>
            <w:r/>
            <w:r>
              <w:rPr>
                <w:rFonts w:ascii="Times New Roman" w:hAnsi="Times New Roman"/>
                <w:sz w:val="20"/>
              </w:rPr>
              <w:t>0.825</w:t>
            </w:r>
          </w:p>
        </w:tc>
        <w:tc>
          <w:tcPr>
            <w:tcW w:type="dxa" w:w="3024"/>
          </w:tcPr>
          <w:p>
            <w:pPr>
              <w:spacing w:line="240" w:lineRule="auto" w:after="40"/>
              <w:jc w:val="left"/>
            </w:pPr>
            <w:r/>
            <w:r>
              <w:rPr>
                <w:rFonts w:ascii="Times New Roman" w:hAnsi="Times New Roman"/>
                <w:sz w:val="20"/>
              </w:rPr>
              <w:t>1.000</w:t>
            </w:r>
          </w:p>
        </w:tc>
      </w:tr>
      <w:tr>
        <w:tc>
          <w:tcPr>
            <w:tcW w:type="dxa" w:w="3024"/>
          </w:tcPr>
          <w:p>
            <w:pPr>
              <w:spacing w:line="240" w:lineRule="auto" w:after="40"/>
              <w:jc w:val="left"/>
            </w:pPr>
            <w:r/>
            <w:r>
              <w:rPr>
                <w:rFonts w:ascii="Times New Roman" w:hAnsi="Times New Roman"/>
                <w:sz w:val="20"/>
              </w:rPr>
              <w:t>Vidal (1973) — durum</w:t>
            </w:r>
          </w:p>
        </w:tc>
        <w:tc>
          <w:tcPr>
            <w:tcW w:type="dxa" w:w="3024"/>
          </w:tcPr>
          <w:p>
            <w:pPr>
              <w:spacing w:line="240" w:lineRule="auto" w:after="40"/>
              <w:jc w:val="left"/>
            </w:pPr>
            <w:r/>
            <w:r>
              <w:rPr>
                <w:rFonts w:ascii="Times New Roman" w:hAnsi="Times New Roman"/>
                <w:sz w:val="20"/>
              </w:rPr>
              <w:t>doğrulandı (2 kaynak)</w:t>
            </w:r>
          </w:p>
        </w:tc>
        <w:tc>
          <w:tcPr>
            <w:tcW w:type="dxa" w:w="3024"/>
          </w:tcPr>
          <w:p>
            <w:pPr>
              <w:spacing w:line="240" w:lineRule="auto" w:after="40"/>
              <w:jc w:val="left"/>
            </w:pPr>
            <w:r/>
            <w:r>
              <w:rPr>
                <w:rFonts w:ascii="Times New Roman" w:hAnsi="Times New Roman"/>
                <w:sz w:val="20"/>
              </w:rPr>
              <w:t>doğrulandı (2 kaynak)</w:t>
            </w:r>
          </w:p>
        </w:tc>
      </w:tr>
      <w:tr>
        <w:tc>
          <w:tcPr>
            <w:tcW w:type="dxa" w:w="3024"/>
          </w:tcPr>
          <w:p>
            <w:pPr>
              <w:spacing w:line="240" w:lineRule="auto" w:after="40"/>
              <w:jc w:val="left"/>
            </w:pPr>
            <w:r/>
            <w:r>
              <w:rPr>
                <w:rFonts w:ascii="Times New Roman" w:hAnsi="Times New Roman"/>
                <w:sz w:val="20"/>
              </w:rPr>
              <w:t>Schirrmeister ve ark. (2017) — puan</w:t>
            </w:r>
          </w:p>
        </w:tc>
        <w:tc>
          <w:tcPr>
            <w:tcW w:type="dxa" w:w="3024"/>
          </w:tcPr>
          <w:p>
            <w:pPr>
              <w:spacing w:line="240" w:lineRule="auto" w:after="40"/>
              <w:jc w:val="left"/>
            </w:pPr>
            <w:r/>
            <w:r>
              <w:rPr>
                <w:rFonts w:ascii="Times New Roman" w:hAnsi="Times New Roman"/>
                <w:sz w:val="20"/>
              </w:rPr>
              <w:t>0.525</w:t>
            </w:r>
          </w:p>
        </w:tc>
        <w:tc>
          <w:tcPr>
            <w:tcW w:type="dxa" w:w="3024"/>
          </w:tcPr>
          <w:p>
            <w:pPr>
              <w:spacing w:line="240" w:lineRule="auto" w:after="40"/>
              <w:jc w:val="left"/>
            </w:pPr>
            <w:r/>
            <w:r>
              <w:rPr>
                <w:rFonts w:ascii="Times New Roman" w:hAnsi="Times New Roman"/>
                <w:sz w:val="20"/>
              </w:rPr>
              <w:t>1.000</w:t>
            </w:r>
          </w:p>
        </w:tc>
      </w:tr>
      <w:tr>
        <w:tc>
          <w:tcPr>
            <w:tcW w:type="dxa" w:w="3024"/>
          </w:tcPr>
          <w:p>
            <w:pPr>
              <w:spacing w:line="240" w:lineRule="auto" w:after="40"/>
              <w:jc w:val="left"/>
            </w:pPr>
            <w:r/>
            <w:r>
              <w:rPr>
                <w:rFonts w:ascii="Times New Roman" w:hAnsi="Times New Roman"/>
                <w:sz w:val="20"/>
              </w:rPr>
              <w:t>Kusurlu DOI denemesi (Hochberg 2006 yerine buz gölü makalesi)</w:t>
            </w:r>
          </w:p>
        </w:tc>
        <w:tc>
          <w:tcPr>
            <w:tcW w:type="dxa" w:w="3024"/>
          </w:tcPr>
          <w:p>
            <w:pPr>
              <w:spacing w:line="240" w:lineRule="auto" w:after="40"/>
              <w:jc w:val="left"/>
            </w:pPr>
            <w:r/>
            <w:r>
              <w:rPr>
                <w:rFonts w:ascii="Times New Roman" w:hAnsi="Times New Roman"/>
                <w:sz w:val="20"/>
              </w:rPr>
              <w:t>doğrulanmadı</w:t>
            </w:r>
          </w:p>
        </w:tc>
        <w:tc>
          <w:tcPr>
            <w:tcW w:type="dxa" w:w="3024"/>
          </w:tcPr>
          <w:p>
            <w:pPr>
              <w:spacing w:line="240" w:lineRule="auto" w:after="40"/>
              <w:jc w:val="left"/>
            </w:pPr>
            <w:r/>
            <w:r>
              <w:rPr>
                <w:rFonts w:ascii="Times New Roman" w:hAnsi="Times New Roman"/>
                <w:sz w:val="20"/>
              </w:rPr>
              <w:t>doğrulanmadı</w:t>
            </w:r>
          </w:p>
        </w:tc>
      </w:tr>
    </w:tbl>
    <w:p>
      <w:pPr>
        <w:spacing w:after="80"/>
      </w:pPr>
    </w:p>
    <w:p>
      <w:pPr>
        <w:spacing w:line="240" w:lineRule="auto" w:after="200"/>
        <w:jc w:val="center"/>
      </w:pPr>
      <w:r>
        <w:rPr>
          <w:rFonts w:ascii="Times New Roman" w:hAnsi="Times New Roman"/>
          <w:i/>
          <w:sz w:val="20"/>
        </w:rPr>
        <w:t>Tablo EK-2. Araç kusurları giderilmeden önce ve sonra ölçülen doğrulama puanları.</w:t>
      </w:r>
    </w:p>
    <w:p>
      <w:pPr>
        <w:ind w:firstLine="709"/>
      </w:pPr>
      <w:r>
        <w:t>Dördüncü satır, aracın ayırt edici gücünü göstermektedir: DOI yanlış olduğunda başlık ve yazar puanları çöktüğü için kayıt eşiği geçememekte, doğrulama başarısız olarak sonuçlanmaktadır. Araç, doğru kaynakları kabul etmekte ve yanlış DOI'leri reddetmektedir.</w:t>
      </w:r>
    </w:p>
    <w:p>
      <w:pPr>
        <w:pStyle w:val="Heading3"/>
      </w:pPr>
      <w:r>
        <w:t>EK-2.3. Doğrulama Sonucu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Pr>
          <w:p>
            <w:pPr>
              <w:spacing w:line="240" w:lineRule="auto" w:after="40"/>
              <w:jc w:val="center"/>
            </w:pPr>
            <w:r/>
            <w:r>
              <w:rPr>
                <w:rFonts w:ascii="Times New Roman" w:hAnsi="Times New Roman"/>
                <w:b/>
                <w:sz w:val="20"/>
              </w:rPr>
              <w:t>Sonuç</w:t>
            </w:r>
          </w:p>
        </w:tc>
        <w:tc>
          <w:tcPr>
            <w:tcW w:type="dxa" w:w="3024"/>
            <w:shd w:val="clear" w:color="auto" w:fill="D9D9D9"/>
          </w:tcPr>
          <w:p>
            <w:pPr>
              <w:spacing w:line="240" w:lineRule="auto" w:after="40"/>
              <w:jc w:val="center"/>
            </w:pPr>
            <w:r/>
            <w:r>
              <w:rPr>
                <w:rFonts w:ascii="Times New Roman" w:hAnsi="Times New Roman"/>
                <w:b/>
                <w:sz w:val="20"/>
              </w:rPr>
              <w:t>Kaynak sayısı</w:t>
            </w:r>
          </w:p>
        </w:tc>
        <w:tc>
          <w:tcPr>
            <w:tcW w:type="dxa" w:w="3024"/>
            <w:shd w:val="clear" w:color="auto" w:fill="D9D9D9"/>
          </w:tcPr>
          <w:p>
            <w:pPr>
              <w:spacing w:line="240" w:lineRule="auto" w:after="40"/>
              <w:jc w:val="center"/>
            </w:pPr>
            <w:r/>
            <w:r>
              <w:rPr>
                <w:rFonts w:ascii="Times New Roman" w:hAnsi="Times New Roman"/>
                <w:b/>
                <w:sz w:val="20"/>
              </w:rPr>
              <w:t>Kaynakçada DOI</w:t>
            </w:r>
          </w:p>
        </w:tc>
      </w:tr>
      <w:tr>
        <w:tc>
          <w:tcPr>
            <w:tcW w:type="dxa" w:w="3024"/>
          </w:tcPr>
          <w:p>
            <w:pPr>
              <w:spacing w:line="240" w:lineRule="auto" w:after="40"/>
              <w:jc w:val="left"/>
            </w:pPr>
            <w:r/>
            <w:r>
              <w:rPr>
                <w:rFonts w:ascii="Times New Roman" w:hAnsi="Times New Roman"/>
                <w:sz w:val="20"/>
              </w:rPr>
              <w:t>Araç doğrulamasından geçti</w:t>
            </w:r>
          </w:p>
        </w:tc>
        <w:tc>
          <w:tcPr>
            <w:tcW w:type="dxa" w:w="3024"/>
          </w:tcPr>
          <w:p>
            <w:pPr>
              <w:spacing w:line="240" w:lineRule="auto" w:after="40"/>
              <w:jc w:val="left"/>
            </w:pPr>
            <w:r/>
            <w:r>
              <w:rPr>
                <w:rFonts w:ascii="Times New Roman" w:hAnsi="Times New Roman"/>
                <w:sz w:val="20"/>
              </w:rPr>
              <w:t>13</w:t>
            </w:r>
          </w:p>
        </w:tc>
        <w:tc>
          <w:tcPr>
            <w:tcW w:type="dxa" w:w="3024"/>
          </w:tcPr>
          <w:p>
            <w:pPr>
              <w:spacing w:line="240" w:lineRule="auto" w:after="40"/>
              <w:jc w:val="left"/>
            </w:pPr>
            <w:r/>
            <w:r>
              <w:rPr>
                <w:rFonts w:ascii="Times New Roman" w:hAnsi="Times New Roman"/>
                <w:sz w:val="20"/>
              </w:rPr>
              <w:t>Yazıldı</w:t>
            </w:r>
          </w:p>
        </w:tc>
      </w:tr>
      <w:tr>
        <w:tc>
          <w:tcPr>
            <w:tcW w:type="dxa" w:w="3024"/>
          </w:tcPr>
          <w:p>
            <w:pPr>
              <w:spacing w:line="240" w:lineRule="auto" w:after="40"/>
              <w:jc w:val="left"/>
            </w:pPr>
            <w:r/>
            <w:r>
              <w:rPr>
                <w:rFonts w:ascii="Times New Roman" w:hAnsi="Times New Roman"/>
                <w:sz w:val="20"/>
              </w:rPr>
              <w:t>Eşiği geçti ama alan uyumsuzluğu var</w:t>
            </w:r>
          </w:p>
        </w:tc>
        <w:tc>
          <w:tcPr>
            <w:tcW w:type="dxa" w:w="3024"/>
          </w:tcPr>
          <w:p>
            <w:pPr>
              <w:spacing w:line="240" w:lineRule="auto" w:after="40"/>
              <w:jc w:val="left"/>
            </w:pPr>
            <w:r/>
            <w:r>
              <w:rPr>
                <w:rFonts w:ascii="Times New Roman" w:hAnsi="Times New Roman"/>
                <w:sz w:val="20"/>
              </w:rPr>
              <w:t>3</w:t>
            </w:r>
          </w:p>
        </w:tc>
        <w:tc>
          <w:tcPr>
            <w:tcW w:type="dxa" w:w="3024"/>
          </w:tcPr>
          <w:p>
            <w:pPr>
              <w:spacing w:line="240" w:lineRule="auto" w:after="40"/>
              <w:jc w:val="left"/>
            </w:pPr>
            <w:r/>
            <w:r>
              <w:rPr>
                <w:rFonts w:ascii="Times New Roman" w:hAnsi="Times New Roman"/>
                <w:sz w:val="20"/>
              </w:rPr>
              <w:t>Yazılmadı</w:t>
            </w:r>
          </w:p>
        </w:tc>
      </w:tr>
      <w:tr>
        <w:tc>
          <w:tcPr>
            <w:tcW w:type="dxa" w:w="3024"/>
          </w:tcPr>
          <w:p>
            <w:pPr>
              <w:spacing w:line="240" w:lineRule="auto" w:after="40"/>
              <w:jc w:val="left"/>
            </w:pPr>
            <w:r/>
            <w:r>
              <w:rPr>
                <w:rFonts w:ascii="Times New Roman" w:hAnsi="Times New Roman"/>
                <w:sz w:val="20"/>
              </w:rPr>
              <w:t>Eşiği geçemedi</w:t>
            </w:r>
          </w:p>
        </w:tc>
        <w:tc>
          <w:tcPr>
            <w:tcW w:type="dxa" w:w="3024"/>
          </w:tcPr>
          <w:p>
            <w:pPr>
              <w:spacing w:line="240" w:lineRule="auto" w:after="40"/>
              <w:jc w:val="left"/>
            </w:pPr>
            <w:r/>
            <w:r>
              <w:rPr>
                <w:rFonts w:ascii="Times New Roman" w:hAnsi="Times New Roman"/>
                <w:sz w:val="20"/>
              </w:rPr>
              <w:t>21</w:t>
            </w:r>
          </w:p>
        </w:tc>
        <w:tc>
          <w:tcPr>
            <w:tcW w:type="dxa" w:w="3024"/>
          </w:tcPr>
          <w:p>
            <w:pPr>
              <w:spacing w:line="240" w:lineRule="auto" w:after="40"/>
              <w:jc w:val="left"/>
            </w:pPr>
            <w:r/>
            <w:r>
              <w:rPr>
                <w:rFonts w:ascii="Times New Roman" w:hAnsi="Times New Roman"/>
                <w:sz w:val="20"/>
              </w:rPr>
              <w:t>Yazılmadı</w:t>
            </w:r>
          </w:p>
        </w:tc>
      </w:tr>
      <w:tr>
        <w:tc>
          <w:tcPr>
            <w:tcW w:type="dxa" w:w="3024"/>
          </w:tcPr>
          <w:p>
            <w:pPr>
              <w:spacing w:line="240" w:lineRule="auto" w:after="40"/>
              <w:jc w:val="left"/>
            </w:pPr>
            <w:r/>
            <w:r>
              <w:rPr>
                <w:rFonts w:ascii="Times New Roman" w:hAnsi="Times New Roman"/>
                <w:sz w:val="20"/>
              </w:rPr>
              <w:t>Toplam</w:t>
            </w:r>
          </w:p>
        </w:tc>
        <w:tc>
          <w:tcPr>
            <w:tcW w:type="dxa" w:w="3024"/>
          </w:tcPr>
          <w:p>
            <w:pPr>
              <w:spacing w:line="240" w:lineRule="auto" w:after="40"/>
              <w:jc w:val="left"/>
            </w:pPr>
            <w:r/>
            <w:r>
              <w:rPr>
                <w:rFonts w:ascii="Times New Roman" w:hAnsi="Times New Roman"/>
                <w:sz w:val="20"/>
              </w:rPr>
              <w:t>37</w:t>
            </w:r>
          </w:p>
        </w:tc>
        <w:tc>
          <w:tcPr>
            <w:tcW w:type="dxa" w:w="3024"/>
          </w:tcPr>
          <w:p>
            <w:pPr>
              <w:spacing w:line="240" w:lineRule="auto" w:after="40"/>
              <w:jc w:val="left"/>
            </w:pPr>
            <w:r/>
            <w:r>
              <w:rPr>
                <w:rFonts w:ascii="Times New Roman" w:hAnsi="Times New Roman"/>
                <w:sz w:val="20"/>
              </w:rPr>
              <w:t>—</w:t>
            </w:r>
          </w:p>
        </w:tc>
      </w:tr>
    </w:tbl>
    <w:p>
      <w:pPr>
        <w:spacing w:after="80"/>
      </w:pPr>
    </w:p>
    <w:p>
      <w:pPr>
        <w:spacing w:line="240" w:lineRule="auto" w:after="200"/>
        <w:jc w:val="center"/>
      </w:pPr>
      <w:r>
        <w:rPr>
          <w:rFonts w:ascii="Times New Roman" w:hAnsi="Times New Roman"/>
          <w:i/>
          <w:sz w:val="20"/>
        </w:rPr>
        <w:t>Tablo EK-3. Kaynakların doğrulama sonucuna göre dağılımı.</w:t>
      </w:r>
    </w:p>
    <w:p>
      <w:pPr>
        <w:ind w:firstLine="709"/>
      </w:pPr>
      <w:r>
        <w:t>Kabul edilen on üç kaynağın DOI'leri kaynakçada yayımlanmıştır. Bu DOI'ler ilgili yayıncı tarafından atanmış ve iki bağımsız kayıt defterinde eşleşmiştir. Geri kalan yirmi dört kaynağın DOI'si bilinmemektedir; doğrulamasız bir DOI yazmak, hiç DOI yazmamaktan daha tehlikelidir, çünkü var olmayan bir kaydı kanıtlanmış gibi gösterir. Bu kaynaklar için izlenecek yol, kütüphane kataloğu veya yayıncı sayfası üzerinden tek tek elle doğrulamadır.</w:t>
      </w:r>
    </w:p>
    <w:p>
      <w:pPr>
        <w:ind w:firstLine="709"/>
      </w:pPr>
      <w:r>
        <w:t>Sınırlılık olarak belirtilmelidir ki, doğrulama yalnızca Crossref ve OpenAlex üzerinde yürütülmüştür. Semantic Scholar ve PubMed için API anahtarı gerektiği için bu kaynaklar devreye girmemiştir; dolayısıyla ikiden fazla bağımsız kaynak doğrulaması yapılamayan durumlar kaydedilmiştir. Ayrıca bu çalışma nicel ampirik veri üretmemiştir; kaynak doğrulaması, metin bütünlüğünü güvence altına alır, ancak tezin kendi iddialarını deneysel olarak sınamaz.</w:t>
      </w:r>
    </w:p>
    <w:p>
      <w:pPr>
        <w:pStyle w:val="Heading2"/>
      </w:pPr>
      <w:r>
        <w:t>EK-4. Kısaltmalar</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D9D9"/>
          </w:tcPr>
          <w:p>
            <w:pPr>
              <w:spacing w:line="240" w:lineRule="auto" w:after="40"/>
              <w:jc w:val="center"/>
            </w:pPr>
            <w:r/>
            <w:r>
              <w:rPr>
                <w:rFonts w:ascii="Times New Roman" w:hAnsi="Times New Roman"/>
                <w:b/>
                <w:sz w:val="20"/>
              </w:rPr>
              <w:t>Kısaltma</w:t>
            </w:r>
          </w:p>
        </w:tc>
        <w:tc>
          <w:tcPr>
            <w:tcW w:type="dxa" w:w="4535"/>
            <w:shd w:val="clear" w:color="auto" w:fill="D9D9D9"/>
          </w:tcPr>
          <w:p>
            <w:pPr>
              <w:spacing w:line="240" w:lineRule="auto" w:after="40"/>
              <w:jc w:val="center"/>
            </w:pPr>
            <w:r/>
            <w:r>
              <w:rPr>
                <w:rFonts w:ascii="Times New Roman" w:hAnsi="Times New Roman"/>
                <w:b/>
                <w:sz w:val="20"/>
              </w:rPr>
              <w:t>Açılış</w:t>
            </w:r>
          </w:p>
        </w:tc>
      </w:tr>
      <w:tr>
        <w:tc>
          <w:tcPr>
            <w:tcW w:type="dxa" w:w="4535"/>
          </w:tcPr>
          <w:p>
            <w:pPr>
              <w:spacing w:line="240" w:lineRule="auto" w:after="40"/>
              <w:jc w:val="left"/>
            </w:pPr>
            <w:r/>
            <w:r>
              <w:rPr>
                <w:rFonts w:ascii="Times New Roman" w:hAnsi="Times New Roman"/>
                <w:sz w:val="20"/>
              </w:rPr>
              <w:t>ALS</w:t>
            </w:r>
          </w:p>
        </w:tc>
        <w:tc>
          <w:tcPr>
            <w:tcW w:type="dxa" w:w="4535"/>
          </w:tcPr>
          <w:p>
            <w:pPr>
              <w:spacing w:line="240" w:lineRule="auto" w:after="40"/>
              <w:jc w:val="left"/>
            </w:pPr>
            <w:r/>
            <w:r>
              <w:rPr>
                <w:rFonts w:ascii="Times New Roman" w:hAnsi="Times New Roman"/>
                <w:sz w:val="20"/>
              </w:rPr>
              <w:t>Amyotrofik Lateral Skleroz</w:t>
            </w:r>
          </w:p>
        </w:tc>
      </w:tr>
      <w:tr>
        <w:tc>
          <w:tcPr>
            <w:tcW w:type="dxa" w:w="4535"/>
          </w:tcPr>
          <w:p>
            <w:pPr>
              <w:spacing w:line="240" w:lineRule="auto" w:after="40"/>
              <w:jc w:val="left"/>
            </w:pPr>
            <w:r/>
            <w:r>
              <w:rPr>
                <w:rFonts w:ascii="Times New Roman" w:hAnsi="Times New Roman"/>
                <w:sz w:val="20"/>
              </w:rPr>
              <w:t>BCI</w:t>
            </w:r>
          </w:p>
        </w:tc>
        <w:tc>
          <w:tcPr>
            <w:tcW w:type="dxa" w:w="4535"/>
          </w:tcPr>
          <w:p>
            <w:pPr>
              <w:spacing w:line="240" w:lineRule="auto" w:after="40"/>
              <w:jc w:val="left"/>
            </w:pPr>
            <w:r/>
            <w:r>
              <w:rPr>
                <w:rFonts w:ascii="Times New Roman" w:hAnsi="Times New Roman"/>
                <w:sz w:val="20"/>
              </w:rPr>
              <w:t>Brain-Computer Interface (Beyin-Bilgisayar Arayüzü)</w:t>
            </w:r>
          </w:p>
        </w:tc>
      </w:tr>
      <w:tr>
        <w:tc>
          <w:tcPr>
            <w:tcW w:type="dxa" w:w="4535"/>
          </w:tcPr>
          <w:p>
            <w:pPr>
              <w:spacing w:line="240" w:lineRule="auto" w:after="40"/>
              <w:jc w:val="left"/>
            </w:pPr>
            <w:r/>
            <w:r>
              <w:rPr>
                <w:rFonts w:ascii="Times New Roman" w:hAnsi="Times New Roman"/>
                <w:sz w:val="20"/>
              </w:rPr>
              <w:t>BOS</w:t>
            </w:r>
          </w:p>
        </w:tc>
        <w:tc>
          <w:tcPr>
            <w:tcW w:type="dxa" w:w="4535"/>
          </w:tcPr>
          <w:p>
            <w:pPr>
              <w:spacing w:line="240" w:lineRule="auto" w:after="40"/>
              <w:jc w:val="left"/>
            </w:pPr>
            <w:r/>
            <w:r>
              <w:rPr>
                <w:rFonts w:ascii="Times New Roman" w:hAnsi="Times New Roman"/>
                <w:sz w:val="20"/>
              </w:rPr>
              <w:t>Bozulmuş Sınıf</w:t>
            </w:r>
          </w:p>
        </w:tc>
      </w:tr>
      <w:tr>
        <w:tc>
          <w:tcPr>
            <w:tcW w:type="dxa" w:w="4535"/>
          </w:tcPr>
          <w:p>
            <w:pPr>
              <w:spacing w:line="240" w:lineRule="auto" w:after="40"/>
              <w:jc w:val="left"/>
            </w:pPr>
            <w:r/>
            <w:r>
              <w:rPr>
                <w:rFonts w:ascii="Times New Roman" w:hAnsi="Times New Roman"/>
                <w:sz w:val="20"/>
              </w:rPr>
              <w:t>CSP</w:t>
            </w:r>
          </w:p>
        </w:tc>
        <w:tc>
          <w:tcPr>
            <w:tcW w:type="dxa" w:w="4535"/>
          </w:tcPr>
          <w:p>
            <w:pPr>
              <w:spacing w:line="240" w:lineRule="auto" w:after="40"/>
              <w:jc w:val="left"/>
            </w:pPr>
            <w:r/>
            <w:r>
              <w:rPr>
                <w:rFonts w:ascii="Times New Roman" w:hAnsi="Times New Roman"/>
                <w:sz w:val="20"/>
              </w:rPr>
              <w:t>Common Spatial Patterns (Ortak Uzaysal Desenler)</w:t>
            </w:r>
          </w:p>
        </w:tc>
      </w:tr>
      <w:tr>
        <w:tc>
          <w:tcPr>
            <w:tcW w:type="dxa" w:w="4535"/>
          </w:tcPr>
          <w:p>
            <w:pPr>
              <w:spacing w:line="240" w:lineRule="auto" w:after="40"/>
              <w:jc w:val="left"/>
            </w:pPr>
            <w:r/>
            <w:r>
              <w:rPr>
                <w:rFonts w:ascii="Times New Roman" w:hAnsi="Times New Roman"/>
                <w:sz w:val="20"/>
              </w:rPr>
              <w:t>DKSA</w:t>
            </w:r>
          </w:p>
        </w:tc>
        <w:tc>
          <w:tcPr>
            <w:tcW w:type="dxa" w:w="4535"/>
          </w:tcPr>
          <w:p>
            <w:pPr>
              <w:spacing w:line="240" w:lineRule="auto" w:after="40"/>
              <w:jc w:val="left"/>
            </w:pPr>
            <w:r/>
            <w:r>
              <w:rPr>
                <w:rFonts w:ascii="Times New Roman" w:hAnsi="Times New Roman"/>
                <w:sz w:val="20"/>
              </w:rPr>
              <w:t>Derin Konvolüsyonel Sinir Ağı</w:t>
            </w:r>
          </w:p>
        </w:tc>
      </w:tr>
      <w:tr>
        <w:tc>
          <w:tcPr>
            <w:tcW w:type="dxa" w:w="4535"/>
          </w:tcPr>
          <w:p>
            <w:pPr>
              <w:spacing w:line="240" w:lineRule="auto" w:after="40"/>
              <w:jc w:val="left"/>
            </w:pPr>
            <w:r/>
            <w:r>
              <w:rPr>
                <w:rFonts w:ascii="Times New Roman" w:hAnsi="Times New Roman"/>
                <w:sz w:val="20"/>
              </w:rPr>
              <w:t>ECoG</w:t>
            </w:r>
          </w:p>
        </w:tc>
        <w:tc>
          <w:tcPr>
            <w:tcW w:type="dxa" w:w="4535"/>
          </w:tcPr>
          <w:p>
            <w:pPr>
              <w:spacing w:line="240" w:lineRule="auto" w:after="40"/>
              <w:jc w:val="left"/>
            </w:pPr>
            <w:r/>
            <w:r>
              <w:rPr>
                <w:rFonts w:ascii="Times New Roman" w:hAnsi="Times New Roman"/>
                <w:sz w:val="20"/>
              </w:rPr>
              <w:t>Electrocorticography (Elektrokortikografi)</w:t>
            </w:r>
          </w:p>
        </w:tc>
      </w:tr>
      <w:tr>
        <w:tc>
          <w:tcPr>
            <w:tcW w:type="dxa" w:w="4535"/>
          </w:tcPr>
          <w:p>
            <w:pPr>
              <w:spacing w:line="240" w:lineRule="auto" w:after="40"/>
              <w:jc w:val="left"/>
            </w:pPr>
            <w:r/>
            <w:r>
              <w:rPr>
                <w:rFonts w:ascii="Times New Roman" w:hAnsi="Times New Roman"/>
                <w:sz w:val="20"/>
              </w:rPr>
              <w:t>EEG</w:t>
            </w:r>
          </w:p>
        </w:tc>
        <w:tc>
          <w:tcPr>
            <w:tcW w:type="dxa" w:w="4535"/>
          </w:tcPr>
          <w:p>
            <w:pPr>
              <w:spacing w:line="240" w:lineRule="auto" w:after="40"/>
              <w:jc w:val="left"/>
            </w:pPr>
            <w:r/>
            <w:r>
              <w:rPr>
                <w:rFonts w:ascii="Times New Roman" w:hAnsi="Times New Roman"/>
                <w:sz w:val="20"/>
              </w:rPr>
              <w:t>Electroencephalography (Elektroensefalografi)</w:t>
            </w:r>
          </w:p>
        </w:tc>
      </w:tr>
      <w:tr>
        <w:tc>
          <w:tcPr>
            <w:tcW w:type="dxa" w:w="4535"/>
          </w:tcPr>
          <w:p>
            <w:pPr>
              <w:spacing w:line="240" w:lineRule="auto" w:after="40"/>
              <w:jc w:val="left"/>
            </w:pPr>
            <w:r/>
            <w:r>
              <w:rPr>
                <w:rFonts w:ascii="Times New Roman" w:hAnsi="Times New Roman"/>
                <w:sz w:val="20"/>
              </w:rPr>
              <w:t>EMG</w:t>
            </w:r>
          </w:p>
        </w:tc>
        <w:tc>
          <w:tcPr>
            <w:tcW w:type="dxa" w:w="4535"/>
          </w:tcPr>
          <w:p>
            <w:pPr>
              <w:spacing w:line="240" w:lineRule="auto" w:after="40"/>
              <w:jc w:val="left"/>
            </w:pPr>
            <w:r/>
            <w:r>
              <w:rPr>
                <w:rFonts w:ascii="Times New Roman" w:hAnsi="Times New Roman"/>
                <w:sz w:val="20"/>
              </w:rPr>
              <w:t>Electromyography (Elektromiyografi)</w:t>
            </w:r>
          </w:p>
        </w:tc>
      </w:tr>
      <w:tr>
        <w:tc>
          <w:tcPr>
            <w:tcW w:type="dxa" w:w="4535"/>
          </w:tcPr>
          <w:p>
            <w:pPr>
              <w:spacing w:line="240" w:lineRule="auto" w:after="40"/>
              <w:jc w:val="left"/>
            </w:pPr>
            <w:r/>
            <w:r>
              <w:rPr>
                <w:rFonts w:ascii="Times New Roman" w:hAnsi="Times New Roman"/>
                <w:sz w:val="20"/>
              </w:rPr>
              <w:t>FDA</w:t>
            </w:r>
          </w:p>
        </w:tc>
        <w:tc>
          <w:tcPr>
            <w:tcW w:type="dxa" w:w="4535"/>
          </w:tcPr>
          <w:p>
            <w:pPr>
              <w:spacing w:line="240" w:lineRule="auto" w:after="40"/>
              <w:jc w:val="left"/>
            </w:pPr>
            <w:r/>
            <w:r>
              <w:rPr>
                <w:rFonts w:ascii="Times New Roman" w:hAnsi="Times New Roman"/>
                <w:sz w:val="20"/>
              </w:rPr>
              <w:t>U.S. Food and Drug Administration</w:t>
            </w:r>
          </w:p>
        </w:tc>
      </w:tr>
      <w:tr>
        <w:tc>
          <w:tcPr>
            <w:tcW w:type="dxa" w:w="4535"/>
          </w:tcPr>
          <w:p>
            <w:pPr>
              <w:spacing w:line="240" w:lineRule="auto" w:after="40"/>
              <w:jc w:val="left"/>
            </w:pPr>
            <w:r/>
            <w:r>
              <w:rPr>
                <w:rFonts w:ascii="Times New Roman" w:hAnsi="Times New Roman"/>
                <w:sz w:val="20"/>
              </w:rPr>
              <w:t>fNIRS</w:t>
            </w:r>
          </w:p>
        </w:tc>
        <w:tc>
          <w:tcPr>
            <w:tcW w:type="dxa" w:w="4535"/>
          </w:tcPr>
          <w:p>
            <w:pPr>
              <w:spacing w:line="240" w:lineRule="auto" w:after="40"/>
              <w:jc w:val="left"/>
            </w:pPr>
            <w:r/>
            <w:r>
              <w:rPr>
                <w:rFonts w:ascii="Times New Roman" w:hAnsi="Times New Roman"/>
                <w:sz w:val="20"/>
              </w:rPr>
              <w:t>Functional Near-Infrared Spectroscopy</w:t>
            </w:r>
          </w:p>
        </w:tc>
      </w:tr>
      <w:tr>
        <w:tc>
          <w:tcPr>
            <w:tcW w:type="dxa" w:w="4535"/>
          </w:tcPr>
          <w:p>
            <w:pPr>
              <w:spacing w:line="240" w:lineRule="auto" w:after="40"/>
              <w:jc w:val="left"/>
            </w:pPr>
            <w:r/>
            <w:r>
              <w:rPr>
                <w:rFonts w:ascii="Times New Roman" w:hAnsi="Times New Roman"/>
                <w:sz w:val="20"/>
              </w:rPr>
              <w:t>ITR</w:t>
            </w:r>
          </w:p>
        </w:tc>
        <w:tc>
          <w:tcPr>
            <w:tcW w:type="dxa" w:w="4535"/>
          </w:tcPr>
          <w:p>
            <w:pPr>
              <w:spacing w:line="240" w:lineRule="auto" w:after="40"/>
              <w:jc w:val="left"/>
            </w:pPr>
            <w:r/>
            <w:r>
              <w:rPr>
                <w:rFonts w:ascii="Times New Roman" w:hAnsi="Times New Roman"/>
                <w:sz w:val="20"/>
              </w:rPr>
              <w:t>Information Transfer Rate (Bilgi Aktarım Hızı)</w:t>
            </w:r>
          </w:p>
        </w:tc>
      </w:tr>
      <w:tr>
        <w:tc>
          <w:tcPr>
            <w:tcW w:type="dxa" w:w="4535"/>
          </w:tcPr>
          <w:p>
            <w:pPr>
              <w:spacing w:line="240" w:lineRule="auto" w:after="40"/>
              <w:jc w:val="left"/>
            </w:pPr>
            <w:r/>
            <w:r>
              <w:rPr>
                <w:rFonts w:ascii="Times New Roman" w:hAnsi="Times New Roman"/>
                <w:sz w:val="20"/>
              </w:rPr>
              <w:t>MEG</w:t>
            </w:r>
          </w:p>
        </w:tc>
        <w:tc>
          <w:tcPr>
            <w:tcW w:type="dxa" w:w="4535"/>
          </w:tcPr>
          <w:p>
            <w:pPr>
              <w:spacing w:line="240" w:lineRule="auto" w:after="40"/>
              <w:jc w:val="left"/>
            </w:pPr>
            <w:r/>
            <w:r>
              <w:rPr>
                <w:rFonts w:ascii="Times New Roman" w:hAnsi="Times New Roman"/>
                <w:sz w:val="20"/>
              </w:rPr>
              <w:t>Magnetoencephalography</w:t>
            </w:r>
          </w:p>
        </w:tc>
      </w:tr>
      <w:tr>
        <w:tc>
          <w:tcPr>
            <w:tcW w:type="dxa" w:w="4535"/>
          </w:tcPr>
          <w:p>
            <w:pPr>
              <w:spacing w:line="240" w:lineRule="auto" w:after="40"/>
              <w:jc w:val="left"/>
            </w:pPr>
            <w:r/>
            <w:r>
              <w:rPr>
                <w:rFonts w:ascii="Times New Roman" w:hAnsi="Times New Roman"/>
                <w:sz w:val="20"/>
              </w:rPr>
              <w:t>SNR</w:t>
            </w:r>
          </w:p>
        </w:tc>
        <w:tc>
          <w:tcPr>
            <w:tcW w:type="dxa" w:w="4535"/>
          </w:tcPr>
          <w:p>
            <w:pPr>
              <w:spacing w:line="240" w:lineRule="auto" w:after="40"/>
              <w:jc w:val="left"/>
            </w:pPr>
            <w:r/>
            <w:r>
              <w:rPr>
                <w:rFonts w:ascii="Times New Roman" w:hAnsi="Times New Roman"/>
                <w:sz w:val="20"/>
              </w:rPr>
              <w:t>Signal-to-Noise Ratio (Sinyal-Gürültü Oranı)</w:t>
            </w:r>
          </w:p>
        </w:tc>
      </w:tr>
    </w:tbl>
    <w:p>
      <w:pPr>
        <w:spacing w:after="80"/>
      </w:pPr>
    </w:p>
    <w:p>
      <w:pPr>
        <w:spacing w:line="240" w:lineRule="auto" w:after="200"/>
        <w:jc w:val="center"/>
      </w:pPr>
      <w:r>
        <w:rPr>
          <w:rFonts w:ascii="Times New Roman" w:hAnsi="Times New Roman"/>
          <w:i/>
          <w:sz w:val="20"/>
        </w:rPr>
        <w:t>Tablo EK-4. Kısaltmalar listesi.</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