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4B3709">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4B3709"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1000 م</w:t>
      </w:r>
      <w:r w:rsidR="00A71AA9" w:rsidRPr="00403074">
        <w:rPr>
          <w:rFonts w:ascii="Simplified Arabic" w:hAnsi="Simplified Arabic" w:cstheme="minorBidi" w:hint="cs"/>
          <w:b/>
          <w:bCs/>
          <w:sz w:val="40"/>
          <w:szCs w:val="40"/>
          <w:vertAlign w:val="superscript"/>
          <w:rtl/>
          <w:lang w:eastAsia="en-US"/>
        </w:rPr>
        <w:t>3</w:t>
      </w:r>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r w:rsidR="004B3709" w:rsidRPr="00403074">
        <w:rPr>
          <w:rFonts w:ascii="Simplified Arabic" w:hAnsi="Simplified Arabic" w:cstheme="minorBidi" w:hint="cs"/>
          <w:b/>
          <w:bCs/>
          <w:sz w:val="40"/>
          <w:szCs w:val="40"/>
          <w:rtl/>
          <w:lang w:eastAsia="en-US"/>
        </w:rPr>
        <w:t>توازن</w:t>
      </w:r>
      <w:r w:rsidR="003314FA" w:rsidRPr="00403074">
        <w:rPr>
          <w:rFonts w:ascii="Simplified Arabic" w:hAnsi="Simplified Arabic" w:cstheme="minorBidi" w:hint="cs"/>
          <w:b/>
          <w:bCs/>
          <w:sz w:val="40"/>
          <w:szCs w:val="40"/>
          <w:rtl/>
          <w:lang w:eastAsia="en-US"/>
        </w:rPr>
        <w:t xml:space="preserve"> </w:t>
      </w:r>
      <w:r w:rsidR="006D54F6" w:rsidRPr="00403074">
        <w:rPr>
          <w:rFonts w:ascii="Simplified Arabic" w:hAnsi="Simplified Arabic" w:cstheme="minorBidi" w:hint="cs"/>
          <w:b/>
          <w:bCs/>
          <w:sz w:val="40"/>
          <w:szCs w:val="40"/>
          <w:rtl/>
          <w:lang w:eastAsia="en-US"/>
        </w:rPr>
        <w:t>فولاذي</w:t>
      </w:r>
      <w:r w:rsidR="006D54F6" w:rsidRPr="00403074">
        <w:rPr>
          <w:rFonts w:asciiTheme="minorHAnsi" w:hAnsiTheme="minorHAnsi" w:cstheme="minorBidi"/>
          <w:b/>
          <w:bCs/>
          <w:sz w:val="40"/>
          <w:szCs w:val="40"/>
          <w:rtl/>
          <w:lang w:eastAsia="en-US"/>
        </w:rPr>
        <w:t>250</w:t>
      </w:r>
      <w:r w:rsidR="004B3709">
        <w:rPr>
          <w:rFonts w:asciiTheme="minorHAnsi" w:hAnsiTheme="minorHAnsi" w:cstheme="minorBidi"/>
          <w:b/>
          <w:bCs/>
          <w:sz w:val="40"/>
          <w:szCs w:val="40"/>
          <w:lang w:eastAsia="en-US"/>
        </w:rPr>
        <w:t xml:space="preserve"> </w:t>
      </w:r>
      <w:r w:rsidR="006D54F6" w:rsidRPr="00403074">
        <w:rPr>
          <w:rFonts w:ascii="Simplified Arabic" w:hAnsi="Simplified Arabic" w:cstheme="minorBidi" w:hint="cs"/>
          <w:b/>
          <w:bCs/>
          <w:sz w:val="40"/>
          <w:szCs w:val="40"/>
          <w:rtl/>
          <w:lang w:eastAsia="en-US"/>
        </w:rPr>
        <w:t xml:space="preserve"> م</w:t>
      </w:r>
      <w:r w:rsidR="006D54F6" w:rsidRPr="00403074">
        <w:rPr>
          <w:rFonts w:ascii="Simplified Arabic" w:hAnsi="Simplified Arabic" w:cstheme="minorBidi" w:hint="cs"/>
          <w:b/>
          <w:bCs/>
          <w:sz w:val="40"/>
          <w:szCs w:val="40"/>
          <w:vertAlign w:val="superscript"/>
          <w:rtl/>
          <w:lang w:eastAsia="en-US"/>
        </w:rPr>
        <w:t>3</w:t>
      </w:r>
      <w:r w:rsidR="006D54F6" w:rsidRPr="00403074">
        <w:rPr>
          <w:rFonts w:ascii="Simplified Arabic" w:hAnsi="Simplified Arabic" w:cstheme="minorBidi" w:hint="cs"/>
          <w:b/>
          <w:bCs/>
          <w:sz w:val="40"/>
          <w:szCs w:val="40"/>
          <w:rtl/>
          <w:lang w:eastAsia="en-US"/>
        </w:rPr>
        <w:t xml:space="preserve"> في منطقة </w:t>
      </w:r>
      <w:r w:rsidR="00C32072">
        <w:rPr>
          <w:rFonts w:ascii="Simplified Arabic" w:hAnsi="Simplified Arabic" w:cstheme="minorBidi" w:hint="cs"/>
          <w:b/>
          <w:bCs/>
          <w:sz w:val="40"/>
          <w:szCs w:val="40"/>
          <w:rtl/>
          <w:lang w:eastAsia="en-US"/>
        </w:rPr>
        <w:t>عنبتا</w:t>
      </w:r>
      <w:r w:rsidR="006D54F6" w:rsidRPr="00403074">
        <w:rPr>
          <w:rFonts w:ascii="Simplified Arabic" w:hAnsi="Simplified Arabic" w:cstheme="minorBidi" w:hint="cs"/>
          <w:b/>
          <w:bCs/>
          <w:sz w:val="40"/>
          <w:szCs w:val="40"/>
          <w:rtl/>
          <w:lang w:eastAsia="en-US"/>
        </w:rPr>
        <w:t xml:space="preserve"> -</w:t>
      </w:r>
      <w:r w:rsidR="00E45916">
        <w:rPr>
          <w:rFonts w:ascii="Simplified Arabic" w:hAnsi="Simplified Arabic" w:cstheme="minorBidi" w:hint="cs"/>
          <w:b/>
          <w:bCs/>
          <w:sz w:val="40"/>
          <w:szCs w:val="40"/>
          <w:rtl/>
          <w:lang w:eastAsia="en-US"/>
        </w:rPr>
        <w:t>طولكرم</w:t>
      </w:r>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r w:rsidRPr="00C219A2">
        <w:rPr>
          <w:rFonts w:cs="Simplified Arabic"/>
          <w:b/>
          <w:bCs/>
          <w:sz w:val="32"/>
          <w:szCs w:val="32"/>
          <w:rtl/>
        </w:rPr>
        <w:t>دعوة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r w:rsidRPr="00431024">
        <w:rPr>
          <w:rFonts w:cs="Simplified Arabic"/>
          <w:b/>
          <w:bCs/>
          <w:u w:val="single"/>
          <w:rtl/>
        </w:rPr>
        <w:t xml:space="preserve">الموضوع: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وانشاء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1000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4B3709"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فولاذي</w:t>
      </w:r>
      <w:r w:rsidRPr="00431024">
        <w:rPr>
          <w:rFonts w:asciiTheme="minorHAnsi" w:hAnsiTheme="minorHAnsi" w:cstheme="minorBidi"/>
          <w:b/>
          <w:bCs/>
          <w:u w:val="single"/>
          <w:rtl/>
          <w:lang w:eastAsia="en-US"/>
        </w:rPr>
        <w:t>250</w:t>
      </w:r>
      <w:r w:rsidRPr="00431024">
        <w:rPr>
          <w:rFonts w:ascii="Simplified Arabic" w:hAnsi="Simplified Arabic" w:cstheme="minorBidi" w:hint="cs"/>
          <w:b/>
          <w:bCs/>
          <w:u w:val="single"/>
          <w:rtl/>
          <w:lang w:eastAsia="en-US"/>
        </w:rPr>
        <w:t xml:space="preserve">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theme="minorBidi" w:hint="cs"/>
          <w:b/>
          <w:bCs/>
          <w:u w:val="single"/>
          <w:rtl/>
          <w:lang w:eastAsia="en-US"/>
        </w:rPr>
        <w:t xml:space="preserve"> في </w:t>
      </w:r>
      <w:r w:rsidR="00C32072">
        <w:rPr>
          <w:rFonts w:ascii="Simplified Arabic" w:hAnsi="Simplified Arabic" w:cstheme="minorBidi" w:hint="cs"/>
          <w:b/>
          <w:bCs/>
          <w:u w:val="single"/>
          <w:rtl/>
          <w:lang w:eastAsia="en-US"/>
        </w:rPr>
        <w:t>منطقة عنبتا</w:t>
      </w:r>
      <w:r w:rsidRPr="00431024">
        <w:rPr>
          <w:rFonts w:ascii="Simplified Arabic" w:hAnsi="Simplified Arabic" w:cstheme="minorBidi" w:hint="cs"/>
          <w:b/>
          <w:bCs/>
          <w:u w:val="single"/>
          <w:rtl/>
          <w:lang w:eastAsia="en-US"/>
        </w:rPr>
        <w:t xml:space="preserve"> -</w:t>
      </w:r>
      <w:r w:rsidR="00E45916">
        <w:rPr>
          <w:rFonts w:ascii="Simplified Arabic" w:hAnsi="Simplified Arabic" w:cstheme="minorBidi" w:hint="cs"/>
          <w:b/>
          <w:bCs/>
          <w:u w:val="single"/>
          <w:rtl/>
          <w:lang w:eastAsia="en-US"/>
        </w:rPr>
        <w:t>طولكرم</w:t>
      </w:r>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r w:rsidRPr="00C219A2">
        <w:rPr>
          <w:rFonts w:cs="Simplified Arabic"/>
          <w:szCs w:val="28"/>
          <w:rtl/>
        </w:rPr>
        <w:t>تحية،</w:t>
      </w:r>
    </w:p>
    <w:p w:rsidR="00431024" w:rsidRPr="00C219A2" w:rsidRDefault="00BD4E13" w:rsidP="00403074">
      <w:pPr>
        <w:bidi/>
        <w:rPr>
          <w:rFonts w:cs="Simplified Arabic"/>
          <w:szCs w:val="28"/>
          <w:rtl/>
        </w:rPr>
      </w:pPr>
      <w:r>
        <w:rPr>
          <w:rFonts w:cs="Simplified Arabic" w:hint="cs"/>
          <w:szCs w:val="28"/>
          <w:rtl/>
        </w:rPr>
        <w:t>ي</w:t>
      </w:r>
      <w:r w:rsidR="00BE7F55" w:rsidRPr="00BE7F55">
        <w:rPr>
          <w:rFonts w:cs="Simplified Arabic" w:hint="cs"/>
          <w:szCs w:val="28"/>
          <w:rtl/>
        </w:rPr>
        <w:t xml:space="preserve">تشرف </w:t>
      </w:r>
      <w:r w:rsidR="00370FCC">
        <w:rPr>
          <w:rFonts w:cs="Simplified Arabic" w:hint="cs"/>
          <w:szCs w:val="28"/>
          <w:rtl/>
        </w:rPr>
        <w:t xml:space="preserve">الشركة الاسلامية الفلسطينية للتنمية </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w:t>
      </w:r>
      <w:r w:rsidR="00C32072">
        <w:rPr>
          <w:rFonts w:cs="Simplified Arabic" w:hint="cs"/>
          <w:b/>
          <w:bCs/>
          <w:sz w:val="28"/>
          <w:szCs w:val="28"/>
          <w:rtl/>
        </w:rPr>
        <w:t>منطقة عنبتا</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9774D7">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الساعة </w:t>
      </w:r>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00BE7F55">
        <w:rPr>
          <w:rFonts w:ascii="Helvetica" w:hAnsi="Helvetica" w:hint="cs"/>
          <w:color w:val="1C1E21"/>
          <w:shd w:val="clear" w:color="auto" w:fill="FFFFFF"/>
          <w:rtl/>
        </w:rPr>
        <w:t xml:space="preserve"> </w:t>
      </w:r>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r w:rsidR="004B3709" w:rsidRPr="006C1D4F">
        <w:rPr>
          <w:rFonts w:cs="Simplified Arabic" w:hint="cs"/>
          <w:b/>
          <w:bCs/>
          <w:rtl/>
          <w:lang w:eastAsia="en-US"/>
        </w:rPr>
        <w:t>الساعة</w:t>
      </w:r>
      <w:r w:rsidRPr="006C1D4F">
        <w:rPr>
          <w:rFonts w:cs="Simplified Arabic" w:hint="cs"/>
          <w:b/>
          <w:bCs/>
          <w:rtl/>
          <w:lang w:eastAsia="en-US"/>
        </w:rPr>
        <w:t xml:space="preserve"> التاسعة صباحا انطلاقا من مقر </w:t>
      </w:r>
      <w:r w:rsidR="00370FCC">
        <w:rPr>
          <w:rFonts w:cs="Simplified Arabic" w:hint="cs"/>
          <w:b/>
          <w:bCs/>
          <w:rtl/>
          <w:lang w:eastAsia="en-US"/>
        </w:rPr>
        <w:t xml:space="preserve">الشركة الاسلامية الفلسطينية للتنمية </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رسوم الإعلان في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لجنة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يلتزم من يرسو عليه العطاء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370FCC">
        <w:rPr>
          <w:rFonts w:cs="Simplified Arabic" w:hint="cs"/>
          <w:b/>
          <w:bCs/>
          <w:sz w:val="28"/>
          <w:szCs w:val="28"/>
          <w:rtl/>
          <w:lang w:eastAsia="en-US"/>
        </w:rPr>
        <w:t xml:space="preserve">الشركة الاسلامية الفلسطينية للتنمية </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Pr="00257110" w:rsidRDefault="00431024" w:rsidP="009F569B">
      <w:pPr>
        <w:pStyle w:val="Title"/>
        <w:jc w:val="left"/>
        <w:rPr>
          <w:rFonts w:cs="Simplified Arabic"/>
          <w:sz w:val="36"/>
          <w:szCs w:val="36"/>
          <w:rtl/>
        </w:rPr>
      </w:pPr>
      <w:r w:rsidRPr="00257110">
        <w:rPr>
          <w:rFonts w:cs="Simplified Arabic" w:hint="cs"/>
          <w:sz w:val="36"/>
          <w:szCs w:val="36"/>
          <w:rtl/>
        </w:rPr>
        <w:t xml:space="preserve">الجزء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يجب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يجب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شخصياً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إذا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أ- سعر الوحدة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ب- مدة تنفيذ المشروع.</w:t>
      </w:r>
    </w:p>
    <w:p w:rsidR="00431024" w:rsidRDefault="00431024" w:rsidP="009F569B">
      <w:pPr>
        <w:bidi/>
        <w:rPr>
          <w:rFonts w:cs="Simplified Arabic"/>
          <w:sz w:val="28"/>
          <w:szCs w:val="28"/>
          <w:rtl/>
        </w:rPr>
      </w:pPr>
      <w:r w:rsidRPr="00C219A2">
        <w:rPr>
          <w:rFonts w:cs="Simplified Arabic"/>
          <w:sz w:val="28"/>
          <w:szCs w:val="28"/>
          <w:rtl/>
        </w:rPr>
        <w:t>ج- خبرة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6) وثائق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 مكونات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على المقاولين أن يتقدموا لكامل الأشغال الموضحة في العطاء. سوف لن تقبل العروض المقدمة لأجزاء من الأشغال. على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على المقاولين المتقدمين لهذا العطاء تعبئة الوثائق التالية بالخط الأسود كتابة أو طباعة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صيغة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شهادة زيارة الموقع.</w:t>
      </w:r>
    </w:p>
    <w:p w:rsidR="00431024" w:rsidRDefault="00431024" w:rsidP="009F569B">
      <w:pPr>
        <w:bidi/>
        <w:rPr>
          <w:rFonts w:cs="Simplified Arabic"/>
          <w:sz w:val="28"/>
          <w:szCs w:val="28"/>
          <w:rtl/>
        </w:rPr>
      </w:pPr>
      <w:r>
        <w:rPr>
          <w:rFonts w:cs="Simplified Arabic" w:hint="cs"/>
          <w:sz w:val="28"/>
          <w:szCs w:val="28"/>
          <w:rtl/>
        </w:rPr>
        <w:t>- نموذج الخبرة والطاقم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المقاولين المتقدمين لهذا العطاء زيارة الموقع والحصول على كافة المعلومات الضرورية وعلى مسئوليتهم الشخصية. ويجب عليه فحص وثائق العطاء بدقة وان يأخذ بعين الاعتبار أي مخاطر أو مسؤوليات محتملة.يتحمل المقاول كافة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 الكميات:</w:t>
      </w:r>
    </w:p>
    <w:p w:rsidR="00431024" w:rsidRPr="00C219A2" w:rsidRDefault="00321157" w:rsidP="005F0DE3">
      <w:pPr>
        <w:bidi/>
        <w:ind w:firstLine="720"/>
        <w:jc w:val="both"/>
        <w:rPr>
          <w:rFonts w:cs="Simplified Arabic"/>
          <w:sz w:val="28"/>
          <w:szCs w:val="28"/>
          <w:rtl/>
        </w:rPr>
      </w:pPr>
      <w:r w:rsidRPr="00321157">
        <w:rPr>
          <w:rFonts w:cs="Simplified Arabic" w:hint="cs"/>
          <w:sz w:val="28"/>
          <w:szCs w:val="28"/>
          <w:rtl/>
        </w:rPr>
        <w:t xml:space="preserve">يتالف المشروع من عدة اعمال: ا- انشاء محطة ضخ (بوستر) وخزان </w:t>
      </w:r>
      <w:r w:rsidR="004B3709" w:rsidRPr="00321157">
        <w:rPr>
          <w:rFonts w:cs="Simplified Arabic" w:hint="cs"/>
          <w:sz w:val="28"/>
          <w:szCs w:val="28"/>
          <w:rtl/>
        </w:rPr>
        <w:t>توازن</w:t>
      </w:r>
      <w:r w:rsidRPr="00321157">
        <w:rPr>
          <w:rFonts w:cs="Simplified Arabic" w:hint="cs"/>
          <w:sz w:val="28"/>
          <w:szCs w:val="28"/>
          <w:rtl/>
        </w:rPr>
        <w:t xml:space="preserve"> سعة 250 متر مكعب بالقرب من بير صير الجوفي. ب- خط ناقل 6" من محطة الضخ في صير باتجاه اراضي </w:t>
      </w:r>
      <w:r w:rsidR="005F0DE3">
        <w:rPr>
          <w:rFonts w:cs="Simplified Arabic" w:hint="cs"/>
          <w:sz w:val="28"/>
          <w:szCs w:val="28"/>
          <w:rtl/>
        </w:rPr>
        <w:t>الشركة الاسلا</w:t>
      </w:r>
      <w:r w:rsidR="00E45916">
        <w:rPr>
          <w:rFonts w:cs="Simplified Arabic" w:hint="cs"/>
          <w:sz w:val="28"/>
          <w:szCs w:val="28"/>
          <w:rtl/>
        </w:rPr>
        <w:t>مية</w:t>
      </w:r>
      <w:r w:rsidR="005F0DE3">
        <w:rPr>
          <w:rFonts w:cs="Simplified Arabic"/>
          <w:sz w:val="28"/>
          <w:szCs w:val="28"/>
        </w:rPr>
        <w:t xml:space="preserve"> </w:t>
      </w:r>
      <w:r w:rsidRPr="00321157">
        <w:rPr>
          <w:rFonts w:cs="Simplified Arabic" w:hint="cs"/>
          <w:sz w:val="28"/>
          <w:szCs w:val="28"/>
          <w:rtl/>
        </w:rPr>
        <w:t xml:space="preserve">وصولا لخزان التوزيع. ج- خزان توزيع معدني ارضي سعة 1000 متر مكعب د- خطوط توزيع زراعية للاراضي الزراعيه في المنطقة. </w:t>
      </w:r>
      <w:r w:rsidR="00431024" w:rsidRPr="00C219A2">
        <w:rPr>
          <w:rFonts w:cs="Simplified Arabic"/>
          <w:sz w:val="28"/>
          <w:szCs w:val="28"/>
          <w:rtl/>
        </w:rPr>
        <w:t xml:space="preserve">إن الكميات التقديرية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يعتمد برنامج التنفيذ كأحد البنود الأساسية عند تقييم العروض وإحالة العطاء. </w:t>
      </w:r>
    </w:p>
    <w:p w:rsidR="00431024" w:rsidRPr="00C219A2" w:rsidRDefault="00431024" w:rsidP="00451359">
      <w:pPr>
        <w:bidi/>
        <w:ind w:firstLine="720"/>
        <w:jc w:val="both"/>
        <w:rPr>
          <w:rFonts w:cs="Simplified Arabic"/>
          <w:sz w:val="28"/>
          <w:szCs w:val="28"/>
          <w:rtl/>
        </w:rPr>
      </w:pPr>
      <w:r w:rsidRPr="00C219A2">
        <w:rPr>
          <w:rFonts w:cs="Simplified Arabic"/>
          <w:sz w:val="28"/>
          <w:szCs w:val="28"/>
          <w:rtl/>
        </w:rPr>
        <w:t>كذلك على المقاول تقديم تقارير يومية عن سير العمل موقعة من قبله ويتم المصادقة عليها من قبل مراقب ال</w:t>
      </w:r>
      <w:r w:rsidR="00451359">
        <w:rPr>
          <w:rFonts w:cs="Simplified Arabic" w:hint="cs"/>
          <w:sz w:val="28"/>
          <w:szCs w:val="28"/>
          <w:rtl/>
        </w:rPr>
        <w:t>شركة الاسلامية</w:t>
      </w:r>
      <w:r w:rsidRPr="00C219A2">
        <w:rPr>
          <w:rFonts w:cs="Simplified Arabic"/>
          <w:sz w:val="28"/>
          <w:szCs w:val="28"/>
          <w:rtl/>
        </w:rPr>
        <w:t xml:space="preserve">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 التجهيزات والآليات:</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 الأشخاص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r w:rsidRPr="00C219A2">
        <w:rPr>
          <w:rFonts w:cs="Simplified Arabic"/>
          <w:b/>
          <w:bCs/>
          <w:sz w:val="36"/>
          <w:szCs w:val="36"/>
          <w:rtl/>
        </w:rPr>
        <w:t xml:space="preserve">) </w:t>
      </w:r>
      <w:r>
        <w:rPr>
          <w:rFonts w:cs="Simplified Arabic" w:hint="cs"/>
          <w:b/>
          <w:bCs/>
          <w:sz w:val="36"/>
          <w:szCs w:val="36"/>
          <w:rtl/>
        </w:rPr>
        <w:t>الكفالات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lastRenderedPageBreak/>
        <w:t xml:space="preserve">يقوم المقاول بتقديم كفالة بنكية بقيمة </w:t>
      </w:r>
      <w:r w:rsidRPr="00900DA3">
        <w:rPr>
          <w:rFonts w:cs="Simplified Arabic" w:hint="cs"/>
          <w:sz w:val="28"/>
          <w:szCs w:val="28"/>
          <w:rtl/>
        </w:rPr>
        <w:t>5%</w:t>
      </w:r>
      <w:r w:rsidRPr="00121955">
        <w:rPr>
          <w:rFonts w:cs="Simplified Arabic" w:hint="cs"/>
          <w:sz w:val="28"/>
          <w:szCs w:val="28"/>
          <w:rtl/>
        </w:rPr>
        <w:t xml:space="preserve"> من قيمة العطاء سارية المفعول لمدة ثلاثة شهور(كفالة دخول عطاء)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r w:rsidRPr="00121955">
        <w:rPr>
          <w:rFonts w:cs="Simplified Arabic" w:hint="cs"/>
          <w:sz w:val="28"/>
          <w:szCs w:val="28"/>
          <w:rtl/>
        </w:rPr>
        <w:t xml:space="preserve"> تعادل 10%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د 5%</w:t>
      </w:r>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r w:rsidRPr="00121955">
        <w:rPr>
          <w:rFonts w:cs="Simplified Arabic" w:hint="cs"/>
          <w:sz w:val="28"/>
          <w:szCs w:val="28"/>
          <w:rtl/>
        </w:rPr>
        <w:t>إذا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 التأمينات:</w:t>
      </w:r>
    </w:p>
    <w:p w:rsidR="00431024" w:rsidRPr="00121955" w:rsidRDefault="00431024" w:rsidP="006F4ADB">
      <w:pPr>
        <w:bidi/>
        <w:jc w:val="both"/>
        <w:rPr>
          <w:rFonts w:cs="Simplified Arabic"/>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370FCC">
        <w:rPr>
          <w:rFonts w:cs="Simplified Arabic" w:hint="cs"/>
          <w:sz w:val="28"/>
          <w:szCs w:val="28"/>
          <w:rtl/>
        </w:rPr>
        <w:t xml:space="preserve">الشركة الاسلامية الفلسطينية للتنمية </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w:t>
      </w:r>
      <w:proofErr w:type="spellStart"/>
      <w:r w:rsidRPr="00AB2A74">
        <w:rPr>
          <w:rFonts w:cs="Simplified Arabic"/>
          <w:sz w:val="28"/>
          <w:szCs w:val="28"/>
          <w:rtl/>
        </w:rPr>
        <w:t>عنه،</w:t>
      </w:r>
      <w:proofErr w:type="spellEnd"/>
      <w:r w:rsidRPr="00AB2A74">
        <w:rPr>
          <w:rFonts w:cs="Simplified Arabic"/>
          <w:sz w:val="28"/>
          <w:szCs w:val="28"/>
          <w:rtl/>
        </w:rPr>
        <w:t xml:space="preserve">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w:t>
      </w:r>
      <w:proofErr w:type="spellStart"/>
      <w:r w:rsidR="00D40AE7" w:rsidRPr="00AB2A74">
        <w:rPr>
          <w:rFonts w:cs="Simplified Arabic" w:hint="cs"/>
          <w:sz w:val="28"/>
          <w:szCs w:val="28"/>
          <w:rtl/>
        </w:rPr>
        <w:t>العطاءات</w:t>
      </w:r>
      <w:proofErr w:type="spellEnd"/>
      <w:r w:rsidR="00D40AE7" w:rsidRPr="00AB2A74">
        <w:rPr>
          <w:rFonts w:cs="Simplified Arabic" w:hint="cs"/>
          <w:sz w:val="28"/>
          <w:szCs w:val="28"/>
          <w:rtl/>
        </w:rPr>
        <w:t xml:space="preserve"> تعديل أو سحب </w:t>
      </w:r>
      <w:proofErr w:type="spellStart"/>
      <w:r w:rsidR="00D40AE7" w:rsidRPr="00AB2A74">
        <w:rPr>
          <w:rFonts w:cs="Simplified Arabic" w:hint="cs"/>
          <w:sz w:val="28"/>
          <w:szCs w:val="28"/>
          <w:rtl/>
        </w:rPr>
        <w:t>عطاءاتهم</w:t>
      </w:r>
      <w:proofErr w:type="spellEnd"/>
      <w:r w:rsidR="00D40AE7" w:rsidRPr="00AB2A74">
        <w:rPr>
          <w:rFonts w:cs="Simplified Arabic" w:hint="cs"/>
          <w:sz w:val="28"/>
          <w:szCs w:val="28"/>
          <w:rtl/>
        </w:rPr>
        <w:t xml:space="preserve">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w:t>
      </w:r>
      <w:proofErr w:type="gramStart"/>
      <w:r w:rsidR="00D40AE7" w:rsidRPr="00D40AE7">
        <w:rPr>
          <w:rFonts w:cs="Simplified Arabic" w:hint="cs"/>
          <w:sz w:val="28"/>
          <w:szCs w:val="28"/>
          <w:rtl/>
        </w:rPr>
        <w:t xml:space="preserve">السحب </w:t>
      </w:r>
      <w:proofErr w:type="spellStart"/>
      <w:r w:rsidR="00D40AE7" w:rsidRPr="00D40AE7">
        <w:rPr>
          <w:rFonts w:cs="Simplified Arabic" w:hint="cs"/>
          <w:sz w:val="28"/>
          <w:szCs w:val="28"/>
          <w:rtl/>
        </w:rPr>
        <w:t>،</w:t>
      </w:r>
      <w:proofErr w:type="spellEnd"/>
      <w:proofErr w:type="gramEnd"/>
      <w:r w:rsidR="00D40AE7" w:rsidRPr="00D40AE7">
        <w:rPr>
          <w:rFonts w:cs="Simplified Arabic" w:hint="cs"/>
          <w:sz w:val="28"/>
          <w:szCs w:val="28"/>
          <w:rtl/>
        </w:rPr>
        <w:t xml:space="preserve"> وختمه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وتمييزه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وتقديمه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يحتفظ صاحب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تحليل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غرامات:</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يوم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r w:rsidRPr="00C219A2">
        <w:rPr>
          <w:rFonts w:cs="Simplified Arabic"/>
          <w:sz w:val="28"/>
          <w:szCs w:val="28"/>
          <w:rtl/>
        </w:rPr>
        <w:t>)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proofErr w:type="spellStart"/>
      <w:r w:rsidR="00510210">
        <w:rPr>
          <w:rFonts w:cs="Simplified Arabic" w:hint="cs"/>
          <w:sz w:val="28"/>
          <w:szCs w:val="28"/>
          <w:rtl/>
        </w:rPr>
        <w:t>ل</w:t>
      </w:r>
      <w:r w:rsidR="00370FCC">
        <w:rPr>
          <w:rFonts w:cs="Simplified Arabic" w:hint="cs"/>
          <w:sz w:val="28"/>
          <w:szCs w:val="28"/>
          <w:rtl/>
        </w:rPr>
        <w:t>الشركة</w:t>
      </w:r>
      <w:proofErr w:type="spellEnd"/>
      <w:r w:rsidR="00370FCC">
        <w:rPr>
          <w:rFonts w:cs="Simplified Arabic" w:hint="cs"/>
          <w:sz w:val="28"/>
          <w:szCs w:val="28"/>
          <w:rtl/>
        </w:rPr>
        <w:t xml:space="preserve"> الاسلامية الفلسطينية للتنمية </w:t>
      </w:r>
      <w:r>
        <w:rPr>
          <w:rFonts w:cs="Simplified Arabic" w:hint="cs"/>
          <w:sz w:val="28"/>
          <w:szCs w:val="28"/>
          <w:rtl/>
        </w:rPr>
        <w:t xml:space="preserve"> وفي حال رغب المقاول بالعمل خارج هذه الأوقات المحددة فان عليه التنسيق واخذ الموافقة </w:t>
      </w:r>
      <w:r>
        <w:rPr>
          <w:rFonts w:cs="Simplified Arabic" w:hint="cs"/>
          <w:sz w:val="28"/>
          <w:szCs w:val="28"/>
          <w:rtl/>
        </w:rPr>
        <w:lastRenderedPageBreak/>
        <w:t xml:space="preserve">المسبقة من 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r w:rsidR="006F4ADB">
        <w:rPr>
          <w:rFonts w:cs="Simplified Arabic" w:hint="cs"/>
          <w:b/>
          <w:bCs/>
          <w:sz w:val="36"/>
          <w:szCs w:val="36"/>
          <w:rtl/>
        </w:rPr>
        <w:t xml:space="preserve"> </w:t>
      </w:r>
      <w:r>
        <w:rPr>
          <w:rFonts w:cs="Simplified Arabic" w:hint="cs"/>
          <w:sz w:val="28"/>
          <w:szCs w:val="28"/>
          <w:rtl/>
        </w:rPr>
        <w:t>الشركة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r w:rsidRPr="00E61E61">
        <w:rPr>
          <w:rFonts w:hint="cs"/>
          <w:w w:val="150"/>
          <w:rtl/>
        </w:rPr>
        <w:t>نماذج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r w:rsidRPr="007C2AAD">
        <w:rPr>
          <w:sz w:val="36"/>
          <w:szCs w:val="36"/>
          <w:rtl/>
          <w:lang w:val="en-CA"/>
        </w:rPr>
        <w:t>تأهيل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اسم الشركة/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العنوان :____________________________________________________________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lastRenderedPageBreak/>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370FCC">
        <w:rPr>
          <w:rFonts w:ascii="Simplified Arabic" w:hAnsi="Simplified Arabic" w:cs="Simplified Arabic" w:hint="cs"/>
          <w:sz w:val="28"/>
          <w:szCs w:val="28"/>
          <w:rtl/>
          <w:lang w:eastAsia="ar-SA"/>
        </w:rPr>
        <w:t xml:space="preserve">الشركة الاسلامية الفلسطينية للتنمية </w:t>
      </w:r>
      <w:r w:rsidR="0086247B">
        <w:rPr>
          <w:rFonts w:ascii="Simplified Arabic" w:hAnsi="Simplified Arabic" w:cs="Simplified Arabic" w:hint="cs"/>
          <w:sz w:val="28"/>
          <w:szCs w:val="28"/>
          <w:rtl/>
          <w:lang w:eastAsia="ar-SA"/>
        </w:rPr>
        <w:t xml:space="preserve">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w:t>
      </w:r>
      <w:proofErr w:type="spellStart"/>
      <w:r w:rsidRPr="00225A90">
        <w:rPr>
          <w:rFonts w:ascii="Simplified Arabic" w:hAnsi="Simplified Arabic" w:cs="Simplified Arabic"/>
          <w:b/>
          <w:bCs/>
          <w:rtl/>
          <w:lang w:val="en-CA"/>
        </w:rPr>
        <w:t>:</w:t>
      </w:r>
      <w:proofErr w:type="spellEnd"/>
      <w:r w:rsidRPr="00225A90">
        <w:rPr>
          <w:rFonts w:ascii="Simplified Arabic" w:hAnsi="Simplified Arabic" w:cs="Simplified Arabic"/>
          <w:b/>
          <w:bCs/>
          <w:rtl/>
          <w:lang w:val="en-CA"/>
        </w:rPr>
        <w:t xml:space="preserve"> </w:t>
      </w:r>
      <w:r w:rsidR="00370FCC">
        <w:rPr>
          <w:rFonts w:ascii="Simplified Arabic" w:hAnsi="Simplified Arabic" w:cs="Simplified Arabic" w:hint="cs"/>
          <w:b/>
          <w:bCs/>
          <w:rtl/>
          <w:lang w:val="en-CA"/>
        </w:rPr>
        <w:t xml:space="preserve">الشركة الاسلامية الفلسطينية للتنمية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w:t>
      </w:r>
      <w:r w:rsidR="00E45916">
        <w:rPr>
          <w:rFonts w:hint="cs"/>
          <w:b/>
          <w:bCs/>
          <w:u w:val="single"/>
          <w:rtl/>
          <w:lang w:val="en-CA" w:bidi="ar-JO"/>
        </w:rPr>
        <w:t xml:space="preserve">الشركة </w:t>
      </w:r>
      <w:proofErr w:type="spellStart"/>
      <w:r w:rsidR="00E45916">
        <w:rPr>
          <w:rFonts w:hint="cs"/>
          <w:b/>
          <w:bCs/>
          <w:u w:val="single"/>
          <w:rtl/>
          <w:lang w:val="en-CA" w:bidi="ar-JO"/>
        </w:rPr>
        <w:t>الاسالامية</w:t>
      </w:r>
      <w:proofErr w:type="spellEnd"/>
      <w:r w:rsidR="00E45916">
        <w:rPr>
          <w:rFonts w:hint="cs"/>
          <w:b/>
          <w:bCs/>
          <w:u w:val="single"/>
          <w:rtl/>
          <w:lang w:val="en-CA" w:bidi="ar-JO"/>
        </w:rPr>
        <w:t xml:space="preserve"> -</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370FCC" w:rsidP="008F3923">
      <w:pPr>
        <w:tabs>
          <w:tab w:val="left" w:pos="7497"/>
        </w:tabs>
        <w:bidi/>
        <w:spacing w:line="480" w:lineRule="auto"/>
        <w:jc w:val="right"/>
        <w:rPr>
          <w:rFonts w:cs="Arabic Transparent"/>
          <w:b/>
          <w:bCs/>
          <w:sz w:val="32"/>
          <w:szCs w:val="32"/>
          <w:rtl/>
        </w:rPr>
      </w:pPr>
      <w:r>
        <w:rPr>
          <w:rFonts w:hint="cs"/>
          <w:b/>
          <w:bCs/>
          <w:sz w:val="32"/>
          <w:szCs w:val="32"/>
          <w:rtl/>
        </w:rPr>
        <w:t xml:space="preserve">الشركة الاسلامية الفلسطينية للتنمية </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E45916">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r>
        <w:rPr>
          <w:rFonts w:cs="Simplified Arabic" w:hint="cs"/>
          <w:b/>
          <w:bCs/>
          <w:rtl/>
          <w:lang w:eastAsia="en-US"/>
        </w:rPr>
        <w:t xml:space="preserve"> </w:t>
      </w:r>
      <w:r w:rsidRPr="00892874">
        <w:rPr>
          <w:rFonts w:cs="Simplified Arabic" w:hint="cs"/>
          <w:b/>
          <w:bCs/>
          <w:rtl/>
          <w:lang w:eastAsia="en-US"/>
        </w:rPr>
        <w:t xml:space="preserve"> ممثل</w:t>
      </w:r>
      <w:r>
        <w:rPr>
          <w:rFonts w:cs="Simplified Arabic" w:hint="cs"/>
          <w:rtl/>
          <w:lang w:eastAsia="en-US"/>
        </w:rPr>
        <w:t xml:space="preserve"> </w:t>
      </w:r>
      <w:r w:rsidR="00E45916">
        <w:rPr>
          <w:rFonts w:cs="Simplified Arabic" w:hint="cs"/>
          <w:b/>
          <w:bCs/>
          <w:rtl/>
          <w:lang w:eastAsia="en-US"/>
        </w:rPr>
        <w:t>.............</w:t>
      </w:r>
      <w:r>
        <w:rPr>
          <w:rFonts w:cs="Simplified Arabic" w:hint="cs"/>
          <w:b/>
          <w:bCs/>
          <w:rtl/>
          <w:lang w:eastAsia="en-US"/>
        </w:rPr>
        <w:t xml:space="preserve">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E45916">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w:t>
      </w:r>
      <w:r w:rsidR="00E45916">
        <w:rPr>
          <w:rFonts w:hint="cs"/>
          <w:b/>
          <w:bCs/>
          <w:u w:val="single"/>
          <w:rtl/>
          <w:lang w:val="en-CA" w:bidi="ar-JO"/>
        </w:rPr>
        <w:t xml:space="preserve">الشركة </w:t>
      </w:r>
      <w:proofErr w:type="spellStart"/>
      <w:r w:rsidR="00E45916">
        <w:rPr>
          <w:rFonts w:hint="cs"/>
          <w:b/>
          <w:bCs/>
          <w:u w:val="single"/>
          <w:rtl/>
          <w:lang w:val="en-CA" w:bidi="ar-JO"/>
        </w:rPr>
        <w:t>الاسلاميه</w:t>
      </w:r>
      <w:proofErr w:type="spellEnd"/>
      <w:r>
        <w:rPr>
          <w:rFonts w:hint="cs"/>
          <w:b/>
          <w:bCs/>
          <w:u w:val="single"/>
          <w:rtl/>
          <w:lang w:val="en-CA" w:bidi="ar-JO"/>
        </w:rPr>
        <w:t xml:space="preserve"> </w:t>
      </w:r>
      <w:r w:rsidR="00E45916">
        <w:rPr>
          <w:rFonts w:hint="cs"/>
          <w:b/>
          <w:bCs/>
          <w:u w:val="single"/>
          <w:rtl/>
          <w:lang w:val="en-CA" w:bidi="ar-JO"/>
        </w:rPr>
        <w:t>-</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bidi="ar-JO"/>
        </w:rPr>
        <w:t xml:space="preserve"> </w:t>
      </w:r>
      <w:proofErr w:type="spellStart"/>
      <w:r w:rsidRPr="00F730EF">
        <w:rPr>
          <w:rFonts w:cs="Arabic Transparent" w:hint="cs"/>
          <w:b/>
          <w:bCs/>
          <w:u w:val="single"/>
          <w:rtl/>
          <w:lang w:val="en-CA" w:bidi="ar-JO"/>
        </w:rPr>
        <w:t>.</w:t>
      </w:r>
      <w:proofErr w:type="spellEnd"/>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lastRenderedPageBreak/>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t xml:space="preserve">تصرف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370FCC">
        <w:rPr>
          <w:rFonts w:cstheme="minorBidi" w:hint="cs"/>
          <w:rtl/>
          <w:lang w:eastAsia="en-US"/>
        </w:rPr>
        <w:t xml:space="preserve">الشركة الاسلامية الفلسطينية للتنمية </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r w:rsidR="00370FCC">
        <w:rPr>
          <w:rFonts w:cs="Simplified Arabic" w:hint="cs"/>
          <w:b/>
          <w:bCs/>
          <w:szCs w:val="28"/>
          <w:rtl/>
        </w:rPr>
        <w:t xml:space="preserve">الشركة الاسلامية الفلسطينية للتنمية </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E45916">
      <w:pPr>
        <w:bidi/>
        <w:spacing w:line="300" w:lineRule="exact"/>
        <w:rPr>
          <w:rFonts w:asciiTheme="majorBidi" w:hAnsiTheme="majorBidi" w:cstheme="majorBidi"/>
          <w:b/>
          <w:bCs/>
          <w:sz w:val="32"/>
          <w:szCs w:val="32"/>
        </w:rPr>
      </w:pPr>
      <w:r w:rsidRPr="00113598">
        <w:rPr>
          <w:rFonts w:asciiTheme="majorBidi" w:hAnsiTheme="majorBidi" w:cstheme="majorBidi"/>
          <w:b/>
          <w:bCs/>
          <w:sz w:val="32"/>
          <w:szCs w:val="32"/>
        </w:rPr>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roofErr w:type="spellStart"/>
      <w:r w:rsidR="00E45916">
        <w:rPr>
          <w:rFonts w:asciiTheme="majorBidi" w:hAnsiTheme="majorBidi" w:cstheme="majorBidi"/>
          <w:b/>
          <w:bCs/>
          <w:sz w:val="32"/>
          <w:szCs w:val="32"/>
        </w:rPr>
        <w:t>Tecnical</w:t>
      </w:r>
      <w:proofErr w:type="spellEnd"/>
      <w:r w:rsidR="00E45916">
        <w:rPr>
          <w:rFonts w:asciiTheme="majorBidi" w:hAnsiTheme="majorBidi" w:cstheme="majorBidi"/>
          <w:b/>
          <w:bCs/>
          <w:sz w:val="32"/>
          <w:szCs w:val="32"/>
        </w:rPr>
        <w:t xml:space="preserve"> Specifications                                                 </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w:t>
      </w:r>
      <w:r w:rsidR="004B3709" w:rsidRPr="0032778E">
        <w:rPr>
          <w:rFonts w:asciiTheme="majorBidi" w:hAnsiTheme="majorBidi" w:cstheme="majorBidi"/>
        </w:rPr>
        <w:t xml:space="preserve">The water supply pipes will partially cover the </w:t>
      </w:r>
      <w:r w:rsidR="004B3709">
        <w:rPr>
          <w:rFonts w:asciiTheme="majorBidi" w:hAnsiTheme="majorBidi" w:cstheme="majorBidi"/>
        </w:rPr>
        <w:t>Islamiya</w:t>
      </w:r>
      <w:r w:rsidR="004B3709" w:rsidRPr="0032778E">
        <w:rPr>
          <w:rFonts w:asciiTheme="majorBidi" w:hAnsiTheme="majorBidi" w:cstheme="majorBidi"/>
        </w:rPr>
        <w:t xml:space="preserve"> </w:t>
      </w:r>
      <w:r w:rsidR="004B3709">
        <w:rPr>
          <w:rFonts w:asciiTheme="majorBidi" w:hAnsiTheme="majorBidi" w:cstheme="majorBidi"/>
        </w:rPr>
        <w:t>lan</w:t>
      </w:r>
      <w:r w:rsidR="004B3709" w:rsidRPr="0032778E">
        <w:rPr>
          <w:rFonts w:asciiTheme="majorBidi" w:hAnsiTheme="majorBidi" w:cstheme="majorBidi"/>
        </w:rPr>
        <w:t>ds; therefore, the pipes exact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370FCC">
        <w:rPr>
          <w:rFonts w:asciiTheme="majorBidi" w:hAnsiTheme="majorBidi" w:cstheme="majorBidi"/>
        </w:rPr>
        <w:t>Al-Islameya Company</w:t>
      </w:r>
      <w:r w:rsidRPr="0032778E">
        <w:rPr>
          <w:rFonts w:asciiTheme="majorBidi" w:hAnsiTheme="majorBidi" w:cstheme="majorBidi"/>
        </w:rPr>
        <w:t xml:space="preserve">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w:t>
      </w:r>
      <w:r w:rsidRPr="0032778E">
        <w:rPr>
          <w:rFonts w:asciiTheme="majorBidi" w:hAnsiTheme="majorBidi" w:cstheme="majorBidi"/>
          <w:lang w:val="en-GB"/>
        </w:rPr>
        <w:lastRenderedPageBreak/>
        <w:t xml:space="preserve">the disposal of surplus material as directed by the supervisor engineer and according to the PWA- GTS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4B3709"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4B3709">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4B3709">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4B3709"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4B3709"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r w:rsidR="004B3709"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Of </w:t>
      </w:r>
      <w:r>
        <w:rPr>
          <w:rFonts w:asciiTheme="majorBidi" w:hAnsiTheme="majorBidi" w:cstheme="majorBidi"/>
          <w:b/>
          <w:bCs/>
        </w:rPr>
        <w:t xml:space="preserve"> </w:t>
      </w:r>
      <w:r w:rsidRPr="0032778E">
        <w:rPr>
          <w:rFonts w:asciiTheme="majorBidi" w:hAnsiTheme="majorBidi" w:cstheme="majorBidi"/>
          <w:b/>
          <w:bCs/>
        </w:rPr>
        <w:t>Executions – Commitments Of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lastRenderedPageBreak/>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1.8 </w:t>
      </w:r>
      <w:r w:rsidR="00F11101">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r w:rsidR="004B3709" w:rsidRPr="0032778E">
        <w:rPr>
          <w:rFonts w:asciiTheme="majorBidi" w:hAnsiTheme="majorBidi" w:cstheme="majorBidi"/>
        </w:rPr>
        <w:t>and then</w:t>
      </w:r>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4B3709">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 Contractor shall document (photos, and/or Video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 xml:space="preserve">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4B3709"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4B3709" w:rsidP="00370FCC">
      <w:pPr>
        <w:numPr>
          <w:ilvl w:val="0"/>
          <w:numId w:val="3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w:t>
      </w:r>
      <w:r w:rsidRPr="0032778E">
        <w:rPr>
          <w:rFonts w:asciiTheme="majorBidi" w:hAnsiTheme="majorBidi" w:cstheme="majorBidi"/>
        </w:rPr>
        <w:t xml:space="preserve">for </w:t>
      </w:r>
      <w:r>
        <w:rPr>
          <w:rFonts w:asciiTheme="majorBidi" w:hAnsiTheme="majorBidi" w:cstheme="majorBidi"/>
        </w:rPr>
        <w:t>booster</w:t>
      </w:r>
      <w:r w:rsidR="00E80EB9" w:rsidRPr="0032778E">
        <w:rPr>
          <w:rFonts w:asciiTheme="majorBidi" w:hAnsiTheme="majorBidi" w:cstheme="majorBidi"/>
        </w:rPr>
        <w:t xml:space="preserve"> </w:t>
      </w:r>
      <w:r w:rsidR="00B33613" w:rsidRPr="0032778E">
        <w:rPr>
          <w:rFonts w:asciiTheme="majorBidi" w:hAnsiTheme="majorBidi" w:cstheme="majorBidi"/>
        </w:rPr>
        <w:t>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4B3709"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4B3709" w:rsidRPr="0032778E">
        <w:rPr>
          <w:rFonts w:asciiTheme="majorBidi" w:hAnsiTheme="majorBidi" w:cstheme="majorBidi"/>
        </w:rPr>
        <w:t>pump shall</w:t>
      </w:r>
      <w:r w:rsidRPr="0032778E">
        <w:rPr>
          <w:rFonts w:asciiTheme="majorBidi" w:hAnsiTheme="majorBidi" w:cstheme="majorBidi"/>
        </w:rPr>
        <w:t xml:space="preserve"> start by using an </w:t>
      </w:r>
      <w:r w:rsidR="004B3709"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  H.R.C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FB2E34">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FB2E34">
        <w:rPr>
          <w:b/>
          <w:bCs/>
        </w:rPr>
        <w:t>Al-Islameya Project</w:t>
      </w:r>
      <w:r w:rsidR="00B61FEF">
        <w:rPr>
          <w:b/>
          <w:bCs/>
        </w:rPr>
        <w:t xml:space="preserve">/ </w:t>
      </w:r>
      <w:r w:rsidR="00FB2E34">
        <w:rPr>
          <w:b/>
          <w:bCs/>
        </w:rPr>
        <w:t>Tulkarem</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lastRenderedPageBreak/>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758A6">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1D49">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3495D">
              <w:rPr>
                <w:i/>
                <w:iCs/>
              </w:rPr>
              <w:t xml:space="preserve">Anabta </w:t>
            </w:r>
            <w:r w:rsidR="004B3709">
              <w:rPr>
                <w:i/>
                <w:iCs/>
              </w:rPr>
              <w:t>Area</w:t>
            </w:r>
            <w:r w:rsidR="00BA5714">
              <w:rPr>
                <w:i/>
                <w:iCs/>
              </w:rPr>
              <w:t>/</w:t>
            </w:r>
            <w:r w:rsidR="00FB2E34">
              <w:rPr>
                <w:i/>
                <w:iCs/>
              </w:rPr>
              <w:t>Tulkarem</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as a minimum unless otherwise is required</w:t>
            </w:r>
            <w:r w:rsidRPr="000D04FB">
              <w:rPr>
                <w:rFonts w:ascii="Calibri" w:hAnsi="Calibri" w:cs="Calibri"/>
              </w:rPr>
              <w:t>.</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6A4451" w:rsidP="00021F69">
            <w:pPr>
              <w:jc w:val="center"/>
            </w:pPr>
            <w:r>
              <w:t>4500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r w:rsidR="004B3709">
              <w:rPr>
                <w:b/>
                <w:bCs/>
              </w:rPr>
              <w:t>double</w:t>
            </w:r>
            <w:r w:rsidR="00021F69">
              <w:rPr>
                <w:b/>
                <w:bCs/>
              </w:rPr>
              <w:t xml:space="preserve"> </w:t>
            </w:r>
            <w:r w:rsidR="004B3709">
              <w:rPr>
                <w:b/>
                <w:bCs/>
              </w:rPr>
              <w:t>orifice</w:t>
            </w:r>
            <w:r w:rsidRPr="000D04FB">
              <w:rPr>
                <w:b/>
                <w:bCs/>
              </w:rPr>
              <w:t>)</w:t>
            </w:r>
            <w:r>
              <w:rPr>
                <w:b/>
                <w:bCs/>
              </w:rPr>
              <w:t xml:space="preserve"> </w:t>
            </w:r>
            <w:r w:rsidRPr="000D04FB">
              <w:t xml:space="preserve">complete As ARI,   16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r w:rsidR="006972F5">
              <w:rPr>
                <w:rFonts w:hint="cs"/>
                <w:b/>
                <w:bCs/>
                <w:rtl/>
                <w:lang w:val="en-GB"/>
              </w:rPr>
              <w:t>"</w:t>
            </w:r>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19.1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Pr>
                <w:lang w:val="en-GB" w:bidi="he-IL"/>
              </w:rPr>
              <w:t>16</w:t>
            </w:r>
            <w:r w:rsidRPr="005821E2">
              <w:rPr>
                <w:lang w:val="en-GB" w:bidi="he-IL"/>
              </w:rPr>
              <w:t xml:space="preserve">Bar (W.P)- Epoxy coated. The measuring unit should be removable type without removing the body from the pipe </w:t>
            </w:r>
            <w:r w:rsidRPr="005821E2">
              <w:rPr>
                <w:lang w:val="en-GB" w:bidi="he-IL"/>
              </w:rPr>
              <w:lastRenderedPageBreak/>
              <w:t>(interchangeable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1</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3</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3619C3" w:rsidRDefault="007E6B21" w:rsidP="00370FCC">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basecourse </w:t>
            </w:r>
            <w:r w:rsidR="004B3709">
              <w:t>grade</w:t>
            </w:r>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r w:rsidR="00076738">
              <w:rPr>
                <w:rFonts w:hint="cs"/>
                <w:rtl/>
              </w:rPr>
              <w:t>"</w:t>
            </w:r>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370FCC">
              <w:t>project</w:t>
            </w:r>
            <w:r w:rsidR="006D54F6">
              <w:t xml:space="preserve"> and </w:t>
            </w:r>
            <w:r w:rsidR="00265332">
              <w:t xml:space="preserve">the </w:t>
            </w:r>
            <w:r>
              <w:t>main road</w:t>
            </w:r>
            <w:r w:rsidR="006D54F6">
              <w:t>s</w:t>
            </w:r>
            <w:r>
              <w:t xml:space="preserve">.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w:t>
            </w:r>
            <w:r w:rsidRPr="000D04FB">
              <w:lastRenderedPageBreak/>
              <w:t>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t>for all 6</w:t>
            </w:r>
            <w:r w:rsidR="003F058D">
              <w:rPr>
                <w:rFonts w:hint="cs"/>
                <w:rtl/>
              </w:rPr>
              <w:t>"</w:t>
            </w:r>
            <w:r w:rsidR="000A1F51">
              <w:t xml:space="preserve"> fittings to be installed on the 6</w:t>
            </w:r>
            <w:r w:rsidR="003F058D">
              <w:rPr>
                <w:rFonts w:hint="cs"/>
                <w:rtl/>
              </w:rPr>
              <w:t>"</w:t>
            </w:r>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4</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t>26.1</w:t>
            </w:r>
          </w:p>
        </w:tc>
        <w:tc>
          <w:tcPr>
            <w:tcW w:w="5684"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 xml:space="preserve">shed) must be enough to hold all fittings compounded in the </w:t>
            </w:r>
            <w:r w:rsidRPr="00C85FD9">
              <w:lastRenderedPageBreak/>
              <w:t>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r w:rsidR="00B50546">
              <w:rPr>
                <w:rFonts w:hint="cs"/>
                <w:rtl/>
                <w:lang w:val="en-GB"/>
              </w:rPr>
              <w:t>"</w:t>
            </w:r>
            <w:r w:rsidRPr="008F67BD">
              <w:rPr>
                <w:lang w:val="en-GB" w:bidi="he-IL"/>
              </w:rPr>
              <w:t xml:space="preserve"> record, screws, bolts and accessories that are needed to assemble the valve and according to specifications Annex 1/ S7</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CE597A"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17" w:name="_Toc372117474"/>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AE18CD" w:rsidRDefault="00AE18CD" w:rsidP="00AE18CD">
      <w:pPr>
        <w:rPr>
          <w:lang w:eastAsia="en-US"/>
        </w:rPr>
      </w:pPr>
      <w:r w:rsidRPr="00782317">
        <w:rPr>
          <w:b/>
          <w:bCs/>
          <w:highlight w:val="yellow"/>
          <w:lang w:eastAsia="en-US"/>
        </w:rPr>
        <w:t>2-  1000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B64B6A" w:rsidP="00F335A8">
            <w:pPr>
              <w:jc w:val="center"/>
            </w:pPr>
            <w:r w:rsidRPr="00562A02">
              <w:t>1.</w:t>
            </w:r>
            <w:r>
              <w:t>2A</w:t>
            </w:r>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FB2E34">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FB2E34">
              <w:t>Anabta Area</w:t>
            </w:r>
            <w:r>
              <w:t>-</w:t>
            </w:r>
            <w:r w:rsidR="00FB2E34">
              <w:t>Tulkarem</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w:t>
            </w:r>
            <w:r>
              <w:rPr>
                <w:rFonts w:ascii="Calibri" w:hAnsi="Calibri" w:cs="Calibri"/>
              </w:rPr>
              <w:lastRenderedPageBreak/>
              <w:t xml:space="preserve">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441D49">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foundation shall have a diameter of at least </w:t>
            </w:r>
            <w:r w:rsidRPr="00C85FD9">
              <w:rPr>
                <w:rFonts w:cs="Calibri"/>
                <w:b/>
                <w:bCs/>
                <w:u w:val="single"/>
              </w:rPr>
              <w:t>two meters larger than the diameter of the reservoir</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xml:space="preserve">). Excavation is done in all types of rock </w:t>
            </w:r>
            <w:r w:rsidRPr="00C85FD9">
              <w:rPr>
                <w:rFonts w:cs="Calibri"/>
              </w:rPr>
              <w:lastRenderedPageBreak/>
              <w:t>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 xml:space="preserve">he reservoir </w:t>
            </w:r>
            <w:r w:rsidR="007F63A1">
              <w:rPr>
                <w:rFonts w:cs="Calibri"/>
              </w:rPr>
              <w:t>wall stone</w:t>
            </w:r>
            <w:r>
              <w:rPr>
                <w:rFonts w:cs="Calibri"/>
              </w:rPr>
              <w:t>:</w:t>
            </w:r>
            <w:r w:rsidRPr="00C85FD9">
              <w:rPr>
                <w:rFonts w:cs="Calibri"/>
              </w:rPr>
              <w:t xml:space="preserve"> the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The area between the stone wall and the concrete beam surrounding tank must be leveled and compacted with basecourse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r w:rsidRPr="00C85FD9">
              <w:t>Ø1</w:t>
            </w:r>
            <w:r w:rsidR="007F63A1">
              <w:t>0</w:t>
            </w:r>
            <w:r w:rsidRPr="00C85FD9">
              <w:t>mm</w:t>
            </w:r>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unwanted materials away from the site.</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 with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441D49">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r w:rsidR="00EC2F8D">
              <w:rPr>
                <w:rFonts w:cs="Calibri" w:hint="cs"/>
                <w:rtl/>
              </w:rPr>
              <w:t>"</w:t>
            </w:r>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r w:rsidR="00897215">
              <w:rPr>
                <w:rFonts w:cs="Calibri" w:hint="cs"/>
                <w:rtl/>
              </w:rPr>
              <w:t>"</w:t>
            </w:r>
            <w:r w:rsidRPr="00C85FD9">
              <w:rPr>
                <w:rFonts w:cs="Calibri"/>
              </w:rPr>
              <w:t xml:space="preserve"> pipes, and these fittings as follows (#,diam, PN16 all according to </w:t>
            </w:r>
            <w:r w:rsidRPr="00C85FD9">
              <w:rPr>
                <w:rFonts w:cs="Calibri"/>
              </w:rPr>
              <w:lastRenderedPageBreak/>
              <w:t xml:space="preserve">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r w:rsidR="00897215">
              <w:rPr>
                <w:rFonts w:cs="Calibri" w:hint="cs"/>
                <w:rtl/>
              </w:rPr>
              <w:t>"</w:t>
            </w:r>
            <w:r w:rsidRPr="00C85FD9">
              <w:rPr>
                <w:rFonts w:cs="Calibri"/>
              </w:rPr>
              <w:t xml:space="preserve"> , </w:t>
            </w:r>
            <w:r>
              <w:rPr>
                <w:rFonts w:cs="Calibri"/>
                <w:b/>
                <w:bCs/>
              </w:rPr>
              <w:t>five</w:t>
            </w:r>
            <w:r w:rsidRPr="00C85FD9">
              <w:rPr>
                <w:rFonts w:cs="Calibri"/>
              </w:rPr>
              <w:t xml:space="preserve"> dressers </w:t>
            </w:r>
            <w:r>
              <w:rPr>
                <w:rFonts w:cs="Calibri"/>
              </w:rPr>
              <w:t>diam6</w:t>
            </w:r>
            <w:r w:rsidR="00897215">
              <w:rPr>
                <w:rFonts w:cs="Calibri" w:hint="cs"/>
                <w:rtl/>
              </w:rPr>
              <w:t>"</w:t>
            </w:r>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r w:rsidR="004B3709">
              <w:rPr>
                <w:rFonts w:cs="Calibri"/>
              </w:rPr>
              <w:t>orifice</w:t>
            </w:r>
            <w:r w:rsidR="00897215">
              <w:rPr>
                <w:rFonts w:cs="Calibri" w:hint="cs"/>
                <w:rtl/>
              </w:rPr>
              <w:t>"</w:t>
            </w:r>
            <w:r w:rsidRPr="00C85FD9">
              <w:rPr>
                <w:rFonts w:cs="Calibri"/>
              </w:rPr>
              <w:t xml:space="preserve"> with 2</w:t>
            </w:r>
            <w:r w:rsidR="00897215">
              <w:rPr>
                <w:rFonts w:cs="Calibri" w:hint="cs"/>
                <w:rtl/>
              </w:rPr>
              <w:t>"</w:t>
            </w:r>
            <w:r w:rsidRPr="00C85FD9">
              <w:rPr>
                <w:rFonts w:cs="Calibri"/>
              </w:rPr>
              <w:t xml:space="preserve"> globe valve and couplings, </w:t>
            </w:r>
            <w:r>
              <w:rPr>
                <w:rFonts w:cs="Calibri"/>
              </w:rPr>
              <w:t>6</w:t>
            </w:r>
            <w:r w:rsidR="00897215">
              <w:rPr>
                <w:rFonts w:cs="Calibri" w:hint="cs"/>
                <w:rtl/>
              </w:rPr>
              <w:t>"</w:t>
            </w:r>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r w:rsidR="00897215">
              <w:rPr>
                <w:rFonts w:cs="Calibri" w:hint="cs"/>
                <w:rtl/>
              </w:rPr>
              <w:t>"</w:t>
            </w:r>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r w:rsidR="00897215">
              <w:rPr>
                <w:rFonts w:cs="Calibri" w:hint="cs"/>
                <w:rtl/>
              </w:rPr>
              <w:t>"</w:t>
            </w:r>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r w:rsidR="00897215">
              <w:rPr>
                <w:rFonts w:cs="Calibri" w:hint="cs"/>
                <w:rtl/>
              </w:rPr>
              <w:t>"</w:t>
            </w:r>
            <w:r w:rsidRPr="00C85FD9">
              <w:rPr>
                <w:rFonts w:cs="Calibri"/>
              </w:rPr>
              <w:t>,</w:t>
            </w:r>
            <w:r>
              <w:rPr>
                <w:rFonts w:cs="Calibri"/>
              </w:rPr>
              <w:t xml:space="preserve"> </w:t>
            </w:r>
            <w:r w:rsidRPr="009960C7">
              <w:rPr>
                <w:rFonts w:cs="Calibri"/>
                <w:b/>
                <w:bCs/>
              </w:rPr>
              <w:t>Nor Return Valve</w:t>
            </w:r>
            <w:r>
              <w:rPr>
                <w:rFonts w:cs="Calibri"/>
              </w:rPr>
              <w:t xml:space="preserve"> 6</w:t>
            </w:r>
            <w:r w:rsidR="00897215">
              <w:rPr>
                <w:rFonts w:cs="Calibri" w:hint="cs"/>
                <w:rtl/>
              </w:rPr>
              <w:t>"</w:t>
            </w:r>
            <w:r>
              <w:rPr>
                <w:rFonts w:cs="Calibri"/>
              </w:rPr>
              <w:t xml:space="preserve">, </w:t>
            </w:r>
            <w:r w:rsidRPr="009960C7">
              <w:rPr>
                <w:rFonts w:cs="Calibri"/>
                <w:b/>
                <w:bCs/>
              </w:rPr>
              <w:t>two water meter</w:t>
            </w:r>
            <w:r>
              <w:rPr>
                <w:rFonts w:cs="Calibri"/>
              </w:rPr>
              <w:t xml:space="preserve"> 6</w:t>
            </w:r>
            <w:r w:rsidR="00897215">
              <w:rPr>
                <w:rFonts w:cs="Calibri" w:hint="cs"/>
                <w:rtl/>
              </w:rPr>
              <w:t>"</w:t>
            </w:r>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 xml:space="preserve">All corrugated sheets shall be fixed vertically without any buckling; no spaces or voids shall be </w:t>
            </w:r>
            <w:r w:rsidRPr="00C85FD9">
              <w:lastRenderedPageBreak/>
              <w:t>left between the sheets.</w:t>
            </w:r>
          </w:p>
          <w:p w:rsidR="00B64B6A" w:rsidRDefault="00B64B6A" w:rsidP="00F335A8">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t>
            </w:r>
            <w:r>
              <w:lastRenderedPageBreak/>
              <w:t xml:space="preserve">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F335A8">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B64B6A" w:rsidP="00F335A8">
            <w:pPr>
              <w:jc w:val="center"/>
              <w:rPr>
                <w:b/>
                <w:bCs/>
              </w:rPr>
            </w:pP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B64B6A" w:rsidRDefault="00B64B6A" w:rsidP="00562A02">
      <w:pPr>
        <w:rPr>
          <w:lang w:eastAsia="en-US"/>
        </w:rPr>
      </w:pPr>
    </w:p>
    <w:p w:rsidR="00B64B6A" w:rsidRDefault="00B64B6A" w:rsidP="00562A02">
      <w:pPr>
        <w:rPr>
          <w:lang w:eastAsia="en-US"/>
        </w:rPr>
      </w:pPr>
    </w:p>
    <w:p w:rsidR="00B30C5C" w:rsidRDefault="00B30C5C" w:rsidP="00562A02">
      <w:pPr>
        <w:rPr>
          <w:lang w:eastAsia="en-US"/>
        </w:rPr>
      </w:pPr>
    </w:p>
    <w:p w:rsidR="00B30C5C" w:rsidRDefault="00B30C5C"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r>
        <w:rPr>
          <w:b/>
          <w:bCs/>
          <w:lang w:eastAsia="en-US"/>
        </w:rPr>
        <w:t>3</w:t>
      </w:r>
      <w:r w:rsidR="00C12DF9">
        <w:rPr>
          <w:b/>
          <w:bCs/>
          <w:lang w:eastAsia="en-US"/>
        </w:rPr>
        <w:t>)-</w:t>
      </w:r>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6D54F6">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sidR="00D271F9">
              <w:rPr>
                <w:b/>
                <w:bCs/>
                <w:color w:val="FF0000"/>
              </w:rPr>
              <w:t>8</w:t>
            </w:r>
            <w:r w:rsidRPr="00686A2C">
              <w:rPr>
                <w:b/>
                <w:bCs/>
                <w:color w:val="FF0000"/>
              </w:rPr>
              <w:t>0m</w:t>
            </w:r>
            <w:r w:rsidRPr="00C165B1">
              <w:rPr>
                <w:b/>
                <w:bCs/>
                <w:color w:val="FF0000"/>
                <w:vertAlign w:val="superscript"/>
              </w:rPr>
              <w:t>3</w:t>
            </w:r>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r>
              <w:t>)</w:t>
            </w:r>
            <w:r w:rsidRPr="00E75D67">
              <w:t xml:space="preserve">  </w:t>
            </w:r>
            <w:r w:rsidRPr="009D1B7A">
              <w:rPr>
                <w:b/>
                <w:bCs/>
                <w:color w:val="FF0000"/>
              </w:rPr>
              <w:t>3x</w:t>
            </w:r>
            <w:r w:rsidR="00D271F9">
              <w:rPr>
                <w:b/>
                <w:bCs/>
                <w:color w:val="FF0000"/>
              </w:rPr>
              <w:t>95</w:t>
            </w:r>
            <w:r>
              <w:t xml:space="preserve"> </w:t>
            </w:r>
            <w:r w:rsidRPr="00A84735">
              <w:t>+</w:t>
            </w:r>
            <w:r>
              <w:t xml:space="preserve"> </w:t>
            </w:r>
            <w:r w:rsidRPr="009D1B7A">
              <w:rPr>
                <w:b/>
                <w:bCs/>
                <w:color w:val="FF0000"/>
              </w:rPr>
              <w:t>1x</w:t>
            </w:r>
            <w:r w:rsidR="00D271F9">
              <w:rPr>
                <w:b/>
                <w:bCs/>
                <w:color w:val="FF0000"/>
              </w:rPr>
              <w:t>50</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 xml:space="preserve">The price includes all materials and </w:t>
            </w:r>
            <w:r w:rsidRPr="00C25792">
              <w:rPr>
                <w:rFonts w:ascii="Calibri" w:hAnsi="Calibri" w:cs="Arial"/>
              </w:rPr>
              <w:lastRenderedPageBreak/>
              <w:t>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w:t>
            </w:r>
            <w:r w:rsidRPr="00402C9B">
              <w:lastRenderedPageBreak/>
              <w:t xml:space="preserve">above every switch and group of lamps. Control electric lamps 24v must be fixed to control all operation system, the starter shall be used to start, run, </w:t>
            </w:r>
            <w:r w:rsidR="004B3709" w:rsidRPr="00402C9B">
              <w:t>stop,</w:t>
            </w:r>
            <w:r w:rsidRPr="00402C9B">
              <w:t xml:space="preserve"> protect and control manually and automatically by using the general required installation </w:t>
            </w:r>
            <w:r w:rsidR="004B3709" w:rsidRPr="00402C9B">
              <w:t>of the</w:t>
            </w:r>
            <w:r w:rsidRPr="00402C9B">
              <w:t xml:space="preserve"> following equipments completely. The price for this item includes: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CE346D">
              <w:rPr>
                <w:rFonts w:ascii="Calibri" w:hAnsi="Calibri" w:cs="Arial"/>
                <w:b/>
                <w:bCs/>
                <w:color w:val="FF0000"/>
              </w:rPr>
              <w:t>25</w:t>
            </w:r>
            <w:r w:rsidRPr="00202B4A">
              <w:rPr>
                <w:rFonts w:ascii="Calibri" w:hAnsi="Calibri" w:cs="Arial"/>
                <w:b/>
                <w:bCs/>
                <w:color w:val="FF0000"/>
              </w:rPr>
              <w:t>0</w:t>
            </w:r>
            <w:r>
              <w:rPr>
                <w:rFonts w:ascii="Calibri" w:hAnsi="Calibri" w:cs="Arial"/>
                <w:b/>
                <w:bCs/>
                <w:color w:val="FF0000"/>
              </w:rPr>
              <w:t xml:space="preserve"> </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Bus bar </w:t>
            </w:r>
            <w:r w:rsidR="00CE346D">
              <w:rPr>
                <w:rFonts w:ascii="Calibri" w:hAnsi="Calibri" w:cs="Arial"/>
                <w:b/>
                <w:bCs/>
              </w:rPr>
              <w:t>4</w:t>
            </w:r>
            <w:r w:rsidRPr="00BE57C2">
              <w:rPr>
                <w:rFonts w:ascii="Calibri" w:hAnsi="Calibri" w:cs="Arial"/>
                <w:b/>
                <w:bCs/>
              </w:rPr>
              <w:t>00A/0.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6615A8" w:rsidRDefault="006615A8" w:rsidP="00441D49">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lastRenderedPageBreak/>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50*50mm.</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D271F9">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441D49">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lastRenderedPageBreak/>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(3*</w:t>
            </w:r>
            <w:r w:rsidR="00CE346D">
              <w:rPr>
                <w:rFonts w:ascii="Calibri" w:hAnsi="Calibri" w:cs="Arial"/>
                <w:b/>
                <w:bCs/>
                <w:color w:val="FF0000"/>
              </w:rPr>
              <w:t>120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CE346D">
              <w:rPr>
                <w:rFonts w:ascii="Calibri" w:hAnsi="Calibri" w:cs="Arial"/>
                <w:b/>
                <w:bCs/>
                <w:color w:val="FF0000"/>
              </w:rPr>
              <w:t>75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t>
            </w:r>
            <w:r>
              <w:rPr>
                <w:rFonts w:ascii="Calibri" w:hAnsi="Calibri" w:cs="Arial"/>
              </w:rPr>
              <w:lastRenderedPageBreak/>
              <w:t>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w:t>
            </w:r>
            <w:r w:rsidR="004B3709" w:rsidRPr="00C25792">
              <w:rPr>
                <w:rFonts w:ascii="Calibri" w:hAnsi="Calibri" w:cs="Arial"/>
              </w:rPr>
              <w:t xml:space="preserve">The contractor should also submit at the end of work as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Transformer 230/24V 150VA</w:t>
            </w:r>
          </w:p>
          <w:p w:rsidR="006615A8" w:rsidRDefault="006615A8" w:rsidP="00441D49">
            <w:pPr>
              <w:numPr>
                <w:ilvl w:val="0"/>
                <w:numId w:val="19"/>
              </w:numPr>
              <w:ind w:left="720"/>
              <w:rPr>
                <w:rFonts w:ascii="Calibri" w:hAnsi="Calibri" w:cs="Arial"/>
              </w:rPr>
            </w:pPr>
            <w:r w:rsidRPr="00C25792">
              <w:rPr>
                <w:rFonts w:ascii="Calibri" w:hAnsi="Calibri" w:cs="Arial"/>
              </w:rPr>
              <w:t>Water level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r w:rsidRPr="00C25792">
              <w:rPr>
                <w:rFonts w:ascii="Calibri" w:hAnsi="Calibri" w:cs="Arial"/>
              </w:rPr>
              <w:t>220V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w:t>
            </w:r>
            <w:r w:rsidRPr="00C25792">
              <w:rPr>
                <w:rFonts w:ascii="Calibri" w:hAnsi="Calibri" w:cs="Arial"/>
              </w:rPr>
              <w:lastRenderedPageBreak/>
              <w:t>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441D49">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mounted (water proof) IP56 for outside the </w:t>
            </w:r>
            <w:r w:rsidRPr="00EE76B2">
              <w:rPr>
                <w:lang w:bidi="he-IL"/>
              </w:rPr>
              <w:lastRenderedPageBreak/>
              <w:t xml:space="preserve">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size  </w:t>
            </w:r>
            <w:r w:rsidRPr="003F378D">
              <w:rPr>
                <w:b/>
                <w:bCs/>
                <w:color w:val="FF0000"/>
                <w:lang w:bidi="he-IL"/>
              </w:rPr>
              <w:t>2-ton (24000 BTU/hr)</w:t>
            </w:r>
            <w:r>
              <w:rPr>
                <w:lang w:bidi="he-IL"/>
              </w:rPr>
              <w:t xml:space="preserve"> inverter technology and EER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441D49">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r w:rsidR="004B3709">
              <w:rPr>
                <w:lang w:bidi="he-IL"/>
              </w:rPr>
              <w:t>w,</w:t>
            </w:r>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r w:rsidR="004B3709" w:rsidRPr="00600A24">
              <w:rPr>
                <w:lang w:bidi="he-IL"/>
              </w:rPr>
              <w:t>projectors</w:t>
            </w:r>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F335A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r w:rsidR="004B3709" w:rsidRPr="00E33794">
              <w:rPr>
                <w:rFonts w:asciiTheme="majorBidi" w:hAnsiTheme="majorBidi" w:cstheme="majorBidi"/>
                <w:color w:val="000000"/>
                <w:sz w:val="22"/>
                <w:szCs w:val="22"/>
              </w:rPr>
              <w:t xml:space="preserve">of </w:t>
            </w:r>
            <w:r w:rsidR="004B3709">
              <w:rPr>
                <w:rFonts w:asciiTheme="majorBidi" w:hAnsiTheme="majorBidi" w:cstheme="majorBidi"/>
                <w:color w:val="000000"/>
                <w:sz w:val="22"/>
                <w:szCs w:val="22"/>
              </w:rPr>
              <w:t>80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21</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lastRenderedPageBreak/>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210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F335A8">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type </w:t>
            </w:r>
            <w:r w:rsidRPr="00E33794">
              <w:rPr>
                <w:rFonts w:asciiTheme="majorBidi" w:hAnsiTheme="majorBidi" w:cstheme="majorBidi"/>
                <w:color w:val="000000" w:themeColor="text1"/>
                <w:sz w:val="22"/>
                <w:szCs w:val="22"/>
              </w:rPr>
              <w:t xml:space="preserve"> </w:t>
            </w:r>
            <w:r w:rsidR="00DD7BCB" w:rsidRPr="00986F90">
              <w:rPr>
                <w:rFonts w:asciiTheme="majorBidi" w:hAnsiTheme="majorBidi" w:cstheme="majorBidi"/>
                <w:b/>
                <w:bCs/>
                <w:color w:val="FF0000"/>
                <w:sz w:val="22"/>
                <w:szCs w:val="22"/>
              </w:rPr>
              <w:t>3x</w:t>
            </w:r>
            <w:r w:rsidR="00F335A8" w:rsidRPr="00986F90">
              <w:rPr>
                <w:rFonts w:asciiTheme="majorBidi" w:hAnsiTheme="majorBidi" w:cstheme="majorBidi"/>
                <w:b/>
                <w:bCs/>
                <w:color w:val="FF0000"/>
                <w:sz w:val="22"/>
                <w:szCs w:val="22"/>
              </w:rPr>
              <w:t>120</w:t>
            </w:r>
            <w:r w:rsidR="00DD7BCB" w:rsidRPr="00986F90">
              <w:rPr>
                <w:rFonts w:asciiTheme="majorBidi" w:hAnsiTheme="majorBidi" w:cstheme="majorBidi"/>
                <w:b/>
                <w:bCs/>
                <w:color w:val="FF0000"/>
                <w:sz w:val="22"/>
                <w:szCs w:val="22"/>
              </w:rPr>
              <w:t>+1x</w:t>
            </w:r>
            <w:r w:rsidR="00F335A8" w:rsidRPr="00986F90">
              <w:rPr>
                <w:rFonts w:asciiTheme="majorBidi" w:hAnsiTheme="majorBidi" w:cstheme="majorBidi"/>
                <w:b/>
                <w:bCs/>
                <w:color w:val="FF0000"/>
                <w:sz w:val="22"/>
                <w:szCs w:val="22"/>
              </w:rPr>
              <w:t>75</w:t>
            </w:r>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 xml:space="preserve">spring type two layers. The price includes excavation inside all types of soil and rock trenches not less than 40*30 </w:t>
            </w:r>
            <w:r w:rsidRPr="00E33794">
              <w:rPr>
                <w:rFonts w:asciiTheme="majorBidi" w:eastAsia="Calibri" w:hAnsiTheme="majorBidi" w:cstheme="majorBidi"/>
                <w:sz w:val="22"/>
                <w:szCs w:val="22"/>
              </w:rPr>
              <w:lastRenderedPageBreak/>
              <w:t>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xml:space="preserve">. The price includes supply and install suitable size reinforced concrete foundation (2-mesh </w:t>
            </w:r>
            <w:r w:rsidRPr="00E33794">
              <w:rPr>
                <w:rFonts w:asciiTheme="majorBidi" w:eastAsia="Calibri" w:hAnsiTheme="majorBidi" w:cstheme="majorBidi"/>
                <w:sz w:val="22"/>
                <w:szCs w:val="22"/>
              </w:rPr>
              <w:lastRenderedPageBreak/>
              <w:t>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4B3709">
              <w:rPr>
                <w:rFonts w:asciiTheme="majorBidi" w:eastAsia="Calibri" w:hAnsiTheme="majorBidi" w:cstheme="majorBidi"/>
                <w:sz w:val="22"/>
                <w:szCs w:val="22"/>
              </w:rPr>
              <w:t>water meters</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4B3709">
              <w:rPr>
                <w:rFonts w:asciiTheme="majorBidi" w:eastAsia="Calibri" w:hAnsiTheme="majorBidi" w:cstheme="majorBidi"/>
                <w:sz w:val="22"/>
                <w:szCs w:val="22"/>
              </w:rPr>
              <w:t>strainers</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4B3709">
              <w:rPr>
                <w:rFonts w:asciiTheme="majorBidi" w:eastAsia="Calibri" w:hAnsiTheme="majorBidi" w:cstheme="majorBidi"/>
                <w:sz w:val="22"/>
                <w:szCs w:val="22"/>
              </w:rPr>
              <w:t>check valve</w:t>
            </w:r>
            <w:r w:rsidR="007C6C58">
              <w:rPr>
                <w:rFonts w:asciiTheme="majorBidi" w:eastAsia="Calibri" w:hAnsiTheme="majorBidi" w:cstheme="majorBidi"/>
                <w:sz w:val="22"/>
                <w:szCs w:val="22"/>
              </w:rPr>
              <w:t>, 6</w:t>
            </w:r>
            <w:r w:rsidR="007C6C58">
              <w:rPr>
                <w:rFonts w:asciiTheme="majorBidi" w:eastAsia="Calibri" w:hAnsiTheme="majorBidi" w:cstheme="majorBidi" w:hint="cs"/>
                <w:sz w:val="22"/>
                <w:szCs w:val="22"/>
                <w:rtl/>
              </w:rPr>
              <w:t>"</w:t>
            </w:r>
            <w:r w:rsidR="007C6C58">
              <w:rPr>
                <w:rFonts w:asciiTheme="majorBidi" w:eastAsia="Calibri" w:hAnsiTheme="majorBidi" w:cstheme="majorBidi"/>
                <w:sz w:val="22"/>
                <w:szCs w:val="22"/>
              </w:rPr>
              <w:t xml:space="preserve"> flexible joint, 2 </w:t>
            </w:r>
            <w:r w:rsidR="007C6C58">
              <w:rPr>
                <w:rFonts w:asciiTheme="majorBidi" w:eastAsia="Calibri" w:hAnsiTheme="majorBidi" w:cstheme="majorBidi" w:hint="cs"/>
                <w:sz w:val="22"/>
                <w:szCs w:val="22"/>
                <w:rtl/>
              </w:rPr>
              <w:t>"</w:t>
            </w:r>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r w:rsidR="007C6C58">
              <w:rPr>
                <w:rFonts w:asciiTheme="majorBidi" w:eastAsia="Calibri" w:hAnsiTheme="majorBidi" w:cstheme="majorBidi" w:hint="cs"/>
                <w:sz w:val="22"/>
                <w:szCs w:val="22"/>
                <w:rtl/>
              </w:rPr>
              <w:t>"</w:t>
            </w:r>
            <w:r w:rsidR="007C6C58">
              <w:rPr>
                <w:rFonts w:asciiTheme="majorBidi" w:eastAsia="Calibri" w:hAnsiTheme="majorBidi" w:cstheme="majorBidi"/>
                <w:sz w:val="22"/>
                <w:szCs w:val="22"/>
              </w:rPr>
              <w:t xml:space="preserve"> air valve..etc.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w:t>
            </w:r>
            <w:r w:rsidR="0072700C" w:rsidRPr="00E33794">
              <w:rPr>
                <w:rFonts w:asciiTheme="majorBidi" w:eastAsia="Calibri" w:hAnsiTheme="majorBidi" w:cstheme="majorBidi"/>
                <w:sz w:val="22"/>
                <w:szCs w:val="22"/>
              </w:rPr>
              <w:lastRenderedPageBreak/>
              <w:t xml:space="preserve">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r w:rsidRPr="00FA5391">
              <w:rPr>
                <w:rFonts w:ascii="Calibri" w:eastAsia="Calibri" w:hAnsi="Calibri" w:cs="Arial"/>
                <w:b/>
                <w:bCs/>
                <w:sz w:val="22"/>
                <w:szCs w:val="22"/>
              </w:rPr>
              <w:t>50x20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r w:rsidR="004B3709">
              <w:rPr>
                <w:rFonts w:ascii="Calibri" w:eastAsia="Calibri" w:hAnsi="Calibri" w:cs="Arial"/>
                <w:sz w:val="22"/>
                <w:szCs w:val="22"/>
              </w:rPr>
              <w:t>columns</w:t>
            </w:r>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r w:rsidR="004B3709">
              <w:rPr>
                <w:rFonts w:ascii="Calibri" w:eastAsia="Calibri" w:hAnsi="Calibri" w:cs="Arial"/>
                <w:sz w:val="22"/>
                <w:szCs w:val="22"/>
              </w:rPr>
              <w:t>partition</w:t>
            </w:r>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r w:rsidR="004B3709">
              <w:rPr>
                <w:rFonts w:ascii="Calibri" w:eastAsia="Calibri" w:hAnsi="Calibri" w:cs="Arial"/>
                <w:sz w:val="22"/>
                <w:szCs w:val="22"/>
              </w:rPr>
              <w:t>reinforce</w:t>
            </w:r>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lastRenderedPageBreak/>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r w:rsidR="001D6D92" w:rsidRPr="00280DD5">
              <w:rPr>
                <w:rFonts w:ascii="Calibri" w:eastAsia="Calibri" w:hAnsi="Calibri" w:cs="Arial"/>
                <w:b/>
                <w:bCs/>
                <w:color w:val="FF0000"/>
                <w:sz w:val="22"/>
                <w:szCs w:val="22"/>
              </w:rPr>
              <w:t>panels</w:t>
            </w:r>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r w:rsidR="009B7A6C" w:rsidRPr="009B7A6C">
              <w:rPr>
                <w:rFonts w:ascii="Calibri" w:eastAsia="Calibri" w:hAnsi="Calibri" w:cs="Arial"/>
                <w:sz w:val="22"/>
                <w:szCs w:val="22"/>
              </w:rPr>
              <w:t>polyisocyanurate foam</w:t>
            </w:r>
            <w:r w:rsidR="009B7A6C">
              <w:rPr>
                <w:rFonts w:ascii="Calibri" w:eastAsia="Calibri" w:hAnsi="Calibri" w:cs="Arial"/>
                <w:sz w:val="22"/>
                <w:szCs w:val="22"/>
              </w:rPr>
              <w:t xml:space="preserve"> insulation materials (pur/pir)</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pvc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2</w:t>
            </w:r>
            <w:r>
              <w:rPr>
                <w:rFonts w:ascii="Calibri" w:eastAsia="Calibri" w:hAnsi="Calibri" w:cs="Arial"/>
                <w:sz w:val="22"/>
                <w:szCs w:val="22"/>
              </w:rPr>
              <w:t>X</w:t>
            </w:r>
            <w:r w:rsidRPr="00F56D6C">
              <w:rPr>
                <w:rFonts w:ascii="Calibri" w:eastAsia="Calibri" w:hAnsi="Calibri" w:cs="Arial"/>
                <w:sz w:val="22"/>
                <w:szCs w:val="22"/>
              </w:rPr>
              <w:t xml:space="preserve">1.2 m </w:t>
            </w:r>
            <w:r>
              <w:rPr>
                <w:rFonts w:ascii="Calibri" w:eastAsia="Calibri" w:hAnsi="Calibri" w:cs="Arial"/>
                <w:sz w:val="22"/>
                <w:szCs w:val="22"/>
              </w:rPr>
              <w:t xml:space="preserve">and 1X1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one 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 cm</w:t>
            </w:r>
            <w:r>
              <w:rPr>
                <w:rFonts w:ascii="Calibri" w:eastAsia="Calibri" w:hAnsi="Calibri" w:cs="Arial"/>
                <w:sz w:val="22"/>
                <w:szCs w:val="22"/>
              </w:rPr>
              <w:t>, and two 100X220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Supplying and installing all materials needed such as cement, sand, fine aggregate, water, ect.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ect. For executing the external plastering (4 coats, the last coat should be white shipreez) with 2 coats of Super creel and super </w:t>
            </w:r>
            <w:r w:rsidRPr="004C351D">
              <w:rPr>
                <w:rFonts w:ascii="Calibri" w:eastAsia="Calibri" w:hAnsi="Calibri" w:cs="Arial"/>
                <w:sz w:val="22"/>
                <w:szCs w:val="22"/>
              </w:rPr>
              <w:lastRenderedPageBreak/>
              <w:t>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of </w:t>
            </w:r>
            <w:r>
              <w:t xml:space="preserve"> </w:t>
            </w:r>
            <w:r>
              <w:rPr>
                <w:b/>
                <w:bCs/>
              </w:rPr>
              <w:t>6</w:t>
            </w:r>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for </w:t>
            </w:r>
            <w:r>
              <w:t xml:space="preserve"> 16 </w:t>
            </w:r>
            <w:r w:rsidRPr="000D04FB">
              <w:t>Bar (W.P) local or international equivalent.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xml:space="preserve">. The </w:t>
            </w:r>
            <w:r w:rsidRPr="00E33794">
              <w:rPr>
                <w:rFonts w:asciiTheme="majorBidi" w:hAnsiTheme="majorBidi" w:cstheme="majorBidi"/>
                <w:sz w:val="22"/>
                <w:szCs w:val="22"/>
              </w:rPr>
              <w:lastRenderedPageBreak/>
              <w:t>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Pr>
                <w:rFonts w:hint="cs"/>
                <w:rtl/>
                <w:lang w:val="en-GB" w:bidi="he-IL"/>
              </w:rPr>
              <w:t>16</w:t>
            </w:r>
            <w:r>
              <w:rPr>
                <w:lang w:val="en-GB" w:bidi="he-IL"/>
              </w:rPr>
              <w:t xml:space="preserve">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BB2BDF">
            <w:pPr>
              <w:jc w:val="both"/>
            </w:pPr>
            <w:r>
              <w:t>Ditto……………………6</w:t>
            </w:r>
            <w:r>
              <w:rPr>
                <w:rFonts w:hint="cs"/>
                <w:rtl/>
                <w:lang w:bidi="he-IL"/>
              </w:rPr>
              <w:t xml:space="preserve">" </w:t>
            </w:r>
            <w:r>
              <w:t xml:space="preserve"> gate valve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The installation works includes all costs of excavations, cutting, shaping, welding,</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8C58C9">
            <w:pPr>
              <w:jc w:val="both"/>
            </w:pPr>
            <w:r>
              <w:t>Ditto……………………6</w:t>
            </w:r>
            <w:r>
              <w:rPr>
                <w:rFonts w:hint="cs"/>
                <w:rtl/>
                <w:lang w:bidi="he-IL"/>
              </w:rPr>
              <w:t xml:space="preserve">" </w:t>
            </w:r>
            <w:r>
              <w:t xml:space="preserve"> dresser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1772F1" w:rsidTr="004758A6">
        <w:trPr>
          <w:trHeight w:val="638"/>
          <w:jc w:val="center"/>
        </w:trPr>
        <w:tc>
          <w:tcPr>
            <w:tcW w:w="1076" w:type="dxa"/>
            <w:vAlign w:val="center"/>
          </w:tcPr>
          <w:p w:rsidR="00280DD5" w:rsidRPr="00491ABF" w:rsidRDefault="00CE597A" w:rsidP="00021F69">
            <w:pPr>
              <w:jc w:val="center"/>
              <w:rPr>
                <w:rFonts w:asciiTheme="majorBidi" w:hAnsiTheme="majorBidi" w:cstheme="majorBidi"/>
                <w:b/>
                <w:bCs/>
                <w:rtl/>
              </w:rPr>
            </w:pPr>
            <w:r w:rsidRPr="00491ABF">
              <w:rPr>
                <w:rFonts w:asciiTheme="majorBidi" w:hAnsiTheme="majorBidi" w:cstheme="majorBidi"/>
                <w:b/>
                <w:bCs/>
              </w:rPr>
              <w:lastRenderedPageBreak/>
              <w:fldChar w:fldCharType="begin"/>
            </w:r>
            <w:r w:rsidR="00280DD5"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8791" w:type="dxa"/>
            <w:gridSpan w:val="8"/>
          </w:tcPr>
          <w:p w:rsidR="00280DD5" w:rsidRPr="00491ABF" w:rsidRDefault="00280DD5"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63495D">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w:t>
            </w:r>
            <w:r w:rsidR="0063495D">
              <w:t>Anabta Area</w:t>
            </w:r>
            <w:r>
              <w:t>-</w:t>
            </w:r>
            <w:r w:rsidR="00CA7A8B">
              <w:t>Tulkarem</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C4721F">
            <w:pPr>
              <w:jc w:val="both"/>
              <w:rPr>
                <w:rFonts w:asciiTheme="minorHAnsi" w:hAnsiTheme="minorHAnsi" w:cstheme="minorHAnsi"/>
              </w:rPr>
            </w:pPr>
            <w:r>
              <w:t>The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00C4721F">
              <w:rPr>
                <w:rFonts w:asciiTheme="minorHAnsi" w:hAnsiTheme="minorHAnsi" w:cstheme="minorHAnsi"/>
              </w:rPr>
              <w:t>5.0</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w:t>
            </w:r>
            <w:r w:rsidRPr="00C85FD9">
              <w:rPr>
                <w:rFonts w:asciiTheme="minorHAnsi" w:hAnsiTheme="minorHAnsi" w:cstheme="minorHAnsi"/>
              </w:rPr>
              <w:lastRenderedPageBreak/>
              <w:t xml:space="preserve">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xml:space="preserve">. </w:t>
            </w:r>
            <w:r w:rsidR="003A644F" w:rsidRPr="00C85FD9">
              <w:rPr>
                <w:rFonts w:cs="Calibri"/>
              </w:rPr>
              <w:t>The price of this item includes all works necessary to open a road (if necessary) and to transport all materials to construct t</w:t>
            </w:r>
            <w:r w:rsidR="003A644F">
              <w:rPr>
                <w:rFonts w:cs="Calibri"/>
              </w:rPr>
              <w:t>he reservoir.</w:t>
            </w:r>
            <w:r w:rsidR="003A644F" w:rsidRPr="00C85FD9">
              <w:rPr>
                <w:rFonts w:cs="Calibri"/>
              </w:rPr>
              <w:t xml:space="preserve"> This includes excavation</w:t>
            </w:r>
            <w:r w:rsidR="003A644F">
              <w:rPr>
                <w:rFonts w:cs="Calibri"/>
              </w:rPr>
              <w:t xml:space="preserve"> and backfilling, and compaction </w:t>
            </w:r>
            <w:r w:rsidR="003A644F" w:rsidRPr="00C85FD9">
              <w:rPr>
                <w:rFonts w:cs="Calibri"/>
              </w:rPr>
              <w:t>works</w:t>
            </w:r>
            <w:r w:rsidR="003A644F">
              <w:rPr>
                <w:rFonts w:cs="Calibri"/>
              </w:rPr>
              <w:t>. Backfilling of materials base course grade B base course in layers (each layer thickness max. 30 cm) and maintain 98% sub grade of the tank</w:t>
            </w:r>
            <w:r w:rsidR="003A644F" w:rsidRPr="00C85FD9">
              <w:rPr>
                <w:rFonts w:cs="Calibri"/>
              </w:rPr>
              <w:t xml:space="preserve"> (rock cutting</w:t>
            </w:r>
            <w:r w:rsidR="003A644F">
              <w:rPr>
                <w:rFonts w:cs="Calibri"/>
              </w:rPr>
              <w:t>, backfilling</w:t>
            </w:r>
            <w:r w:rsidR="003A644F" w:rsidRPr="00C85FD9">
              <w:rPr>
                <w:rFonts w:cs="Calibri"/>
              </w:rPr>
              <w:t xml:space="preserve"> to reach </w:t>
            </w:r>
            <w:r w:rsidR="003A644F">
              <w:rPr>
                <w:rFonts w:cs="Calibri"/>
              </w:rPr>
              <w:t xml:space="preserve">at least 40 cm </w:t>
            </w:r>
            <w:r w:rsidR="003A644F" w:rsidRPr="00C85FD9">
              <w:rPr>
                <w:rFonts w:cs="Calibri"/>
              </w:rPr>
              <w:t xml:space="preserve">level </w:t>
            </w:r>
            <w:r w:rsidR="003A644F">
              <w:rPr>
                <w:rFonts w:cs="Calibri"/>
              </w:rPr>
              <w:t>above the highest point of adjacent land or roads</w:t>
            </w:r>
            <w:r w:rsidR="003A644F" w:rsidRPr="00C85FD9">
              <w:rPr>
                <w:rFonts w:cs="Calibri"/>
              </w:rPr>
              <w:t>). Excavation is done in all types of rock and soil</w:t>
            </w:r>
            <w:r w:rsidR="003A644F">
              <w:rPr>
                <w:rFonts w:cs="Calibri"/>
              </w:rPr>
              <w:t xml:space="preserve"> and transport outside the site of any excess excavations to accepted place by the local authority</w:t>
            </w:r>
            <w:r w:rsidR="003A644F" w:rsidRPr="00C85FD9">
              <w:rPr>
                <w:rFonts w:cs="Calibri"/>
              </w:rPr>
              <w:t xml:space="preserve">. </w:t>
            </w:r>
            <w:r w:rsidR="003A644F">
              <w:rPr>
                <w:rFonts w:cs="Calibri"/>
              </w:rPr>
              <w:t>T</w:t>
            </w:r>
            <w:r w:rsidR="003A644F" w:rsidRPr="00C85FD9">
              <w:rPr>
                <w:rFonts w:cs="Calibri"/>
              </w:rPr>
              <w:t xml:space="preserve">he reservoir </w:t>
            </w:r>
            <w:r w:rsidR="003A644F">
              <w:rPr>
                <w:rFonts w:cs="Calibri"/>
              </w:rPr>
              <w:t>wall stone:</w:t>
            </w:r>
            <w:r w:rsidR="003A644F" w:rsidRPr="00C85FD9">
              <w:rPr>
                <w:rFonts w:cs="Calibri"/>
              </w:rPr>
              <w:t xml:space="preserve"> the price includes </w:t>
            </w:r>
            <w:r w:rsidR="003A644F">
              <w:rPr>
                <w:rFonts w:cs="Calibri"/>
              </w:rPr>
              <w:t xml:space="preserve">excavation, cutting and leveling the surrounding reservoir basement for </w:t>
            </w:r>
            <w:r w:rsidR="003A644F" w:rsidRPr="00C85FD9">
              <w:rPr>
                <w:rFonts w:cs="Calibri"/>
              </w:rPr>
              <w:t>building stone walls</w:t>
            </w:r>
            <w:r w:rsidR="003A644F">
              <w:rPr>
                <w:rFonts w:cs="Calibri"/>
              </w:rPr>
              <w:t>;</w:t>
            </w:r>
            <w:r w:rsidR="003A644F" w:rsidRPr="00C85FD9">
              <w:rPr>
                <w:rFonts w:cs="Calibri"/>
              </w:rPr>
              <w:t xml:space="preserve"> which is made of boulders hard </w:t>
            </w:r>
            <w:r w:rsidR="003A644F">
              <w:rPr>
                <w:rFonts w:cs="Calibri"/>
              </w:rPr>
              <w:t>lime</w:t>
            </w:r>
            <w:r w:rsidR="003A644F" w:rsidRPr="00C85FD9">
              <w:rPr>
                <w:rFonts w:cs="Calibri"/>
              </w:rPr>
              <w:t xml:space="preserve">stone dimensions not less than </w:t>
            </w:r>
            <w:r w:rsidR="003A644F">
              <w:rPr>
                <w:rFonts w:cs="Calibri"/>
              </w:rPr>
              <w:t>15</w:t>
            </w:r>
            <w:r w:rsidR="003A644F" w:rsidRPr="00C85FD9">
              <w:rPr>
                <w:rFonts w:cs="Calibri"/>
              </w:rPr>
              <w:t>0*</w:t>
            </w:r>
            <w:r w:rsidR="003A644F">
              <w:rPr>
                <w:rFonts w:cs="Calibri"/>
              </w:rPr>
              <w:t>10</w:t>
            </w:r>
            <w:r w:rsidR="003A644F" w:rsidRPr="00C85FD9">
              <w:rPr>
                <w:rFonts w:cs="Calibri"/>
              </w:rPr>
              <w:t>0*</w:t>
            </w:r>
            <w:r w:rsidR="003A644F">
              <w:rPr>
                <w:rFonts w:cs="Calibri"/>
              </w:rPr>
              <w:t>5</w:t>
            </w:r>
            <w:r w:rsidR="003A644F" w:rsidRPr="00C85FD9">
              <w:rPr>
                <w:rFonts w:cs="Calibri"/>
              </w:rPr>
              <w:t xml:space="preserve">0cm. The dimension </w:t>
            </w:r>
            <w:r w:rsidR="003A644F">
              <w:rPr>
                <w:rFonts w:cs="Calibri"/>
              </w:rPr>
              <w:t>15</w:t>
            </w:r>
            <w:r w:rsidR="003A644F" w:rsidRPr="00C85FD9">
              <w:rPr>
                <w:rFonts w:cs="Calibri"/>
              </w:rPr>
              <w:t xml:space="preserve">0 cm is toward reservoir center, and </w:t>
            </w:r>
            <w:r w:rsidR="003A644F">
              <w:rPr>
                <w:rFonts w:cs="Calibri"/>
              </w:rPr>
              <w:t>10</w:t>
            </w:r>
            <w:r w:rsidR="003A644F" w:rsidRPr="00C85FD9">
              <w:rPr>
                <w:rFonts w:cs="Calibri"/>
              </w:rPr>
              <w:t xml:space="preserve">0 cm wide, and </w:t>
            </w:r>
            <w:r w:rsidR="003A644F">
              <w:rPr>
                <w:rFonts w:cs="Calibri"/>
              </w:rPr>
              <w:t>5</w:t>
            </w:r>
            <w:r w:rsidR="003A644F" w:rsidRPr="00C85FD9">
              <w:rPr>
                <w:rFonts w:cs="Calibri"/>
              </w:rPr>
              <w:t xml:space="preserve">0 cm thickness) and act </w:t>
            </w:r>
            <w:r w:rsidR="003A644F" w:rsidRPr="00C85FD9">
              <w:rPr>
                <w:rFonts w:cs="Calibri"/>
              </w:rPr>
              <w:lastRenderedPageBreak/>
              <w:t xml:space="preserve">as a retaining wall. </w:t>
            </w:r>
            <w:r w:rsidR="003A644F">
              <w:rPr>
                <w:rFonts w:cs="Calibri"/>
              </w:rPr>
              <w:t>The area between the stone wall and the concrete beam surrounding tank must be leveled and compacted with basecourse and cast r</w:t>
            </w:r>
            <w:r w:rsidR="003A644F" w:rsidRPr="00C85FD9">
              <w:rPr>
                <w:rFonts w:cs="Calibri"/>
              </w:rPr>
              <w:t>einforced concrete base  1</w:t>
            </w:r>
            <w:r w:rsidR="003A644F">
              <w:rPr>
                <w:rFonts w:cs="Calibri"/>
              </w:rPr>
              <w:t>0</w:t>
            </w:r>
            <w:r w:rsidR="003A644F" w:rsidRPr="00C85FD9">
              <w:rPr>
                <w:rFonts w:cs="Calibri"/>
              </w:rPr>
              <w:t xml:space="preserve"> cm thickness along stone wall base and reinforced by steel mesh   (</w:t>
            </w:r>
            <w:r w:rsidR="003A644F" w:rsidRPr="00C85FD9">
              <w:t>Ø1</w:t>
            </w:r>
            <w:r w:rsidR="003A644F">
              <w:t>0</w:t>
            </w:r>
            <w:r w:rsidR="003A644F" w:rsidRPr="00C85FD9">
              <w:t>mm</w:t>
            </w:r>
            <w:r w:rsidR="003A644F" w:rsidRPr="00C85FD9">
              <w:rPr>
                <w:rFonts w:cs="Calibri"/>
              </w:rPr>
              <w:t xml:space="preserve"> </w:t>
            </w:r>
            <w:r w:rsidR="003A644F">
              <w:rPr>
                <w:rFonts w:cs="Calibri"/>
              </w:rPr>
              <w:t>all around the</w:t>
            </w:r>
            <w:r w:rsidR="003A644F" w:rsidRPr="00C85FD9">
              <w:rPr>
                <w:rFonts w:cs="Calibri"/>
              </w:rPr>
              <w:t xml:space="preserve"> reservoir finish level</w:t>
            </w:r>
            <w:r w:rsidR="003A644F">
              <w:rPr>
                <w:rFonts w:cs="Calibri"/>
              </w:rPr>
              <w:t xml:space="preserve">).  </w:t>
            </w:r>
            <w:r w:rsidR="003A644F" w:rsidRPr="00C85FD9">
              <w:rPr>
                <w:rFonts w:cs="Calibri"/>
              </w:rPr>
              <w:t xml:space="preserve">The maximum </w:t>
            </w:r>
            <w:r w:rsidR="003A644F">
              <w:rPr>
                <w:rFonts w:cs="Calibri"/>
              </w:rPr>
              <w:t xml:space="preserve">step of stone </w:t>
            </w:r>
            <w:r w:rsidR="003A644F" w:rsidRPr="00C85FD9">
              <w:rPr>
                <w:rFonts w:cs="Calibri"/>
              </w:rPr>
              <w:t>wall height at any side should not exceed 1.</w:t>
            </w:r>
            <w:r w:rsidR="003A644F">
              <w:rPr>
                <w:rFonts w:cs="Calibri"/>
              </w:rPr>
              <w:t>5</w:t>
            </w:r>
            <w:r w:rsidR="003A644F" w:rsidRPr="00C85FD9">
              <w:rPr>
                <w:rFonts w:cs="Calibri"/>
              </w:rPr>
              <w:t xml:space="preserve"> meter</w:t>
            </w:r>
            <w:r w:rsidR="003A644F">
              <w:rPr>
                <w:rFonts w:cs="Calibri"/>
              </w:rPr>
              <w:t xml:space="preserve"> then make new step or enough slope from the base to the finished base course ground level</w:t>
            </w:r>
            <w:r w:rsidR="003A644F" w:rsidRPr="00C85FD9">
              <w:rPr>
                <w:rFonts w:cs="Calibri"/>
              </w:rPr>
              <w:t xml:space="preserve">. The stone walls are added everywhere necessary around the reservoir </w:t>
            </w:r>
            <w:r w:rsidR="003A644F">
              <w:rPr>
                <w:rFonts w:cs="Calibri"/>
              </w:rPr>
              <w:t xml:space="preserve">from all side </w:t>
            </w:r>
            <w:r w:rsidR="003A644F" w:rsidRPr="00C85FD9">
              <w:rPr>
                <w:rFonts w:cs="Calibri"/>
              </w:rPr>
              <w:t>sides; so as to obtain fully stable reservoir base</w:t>
            </w:r>
            <w:r w:rsidR="003A644F">
              <w:rPr>
                <w:rFonts w:cs="Calibri"/>
              </w:rPr>
              <w:t xml:space="preserve"> against movement and water drainage from the roads and surrounding</w:t>
            </w:r>
            <w:r w:rsidR="003A644F" w:rsidRPr="00C85FD9">
              <w:rPr>
                <w:rFonts w:cs="Calibri"/>
              </w:rPr>
              <w:t xml:space="preserve">. </w:t>
            </w:r>
            <w:r w:rsidR="003A644F">
              <w:rPr>
                <w:rFonts w:cs="Calibri"/>
              </w:rPr>
              <w:t>The price includes clean the site and transport excavated and unwanted materials away from the site.</w:t>
            </w:r>
            <w:r w:rsidR="006C5922">
              <w:rPr>
                <w:rFonts w:asciiTheme="minorHAnsi" w:hAnsiTheme="minorHAnsi" w:cstheme="minorHAnsi"/>
              </w:rPr>
              <w:t xml:space="preserve"> to accepted location by </w:t>
            </w:r>
            <w:r w:rsidR="006D54F6">
              <w:rPr>
                <w:rFonts w:asciiTheme="minorHAnsi" w:hAnsiTheme="minorHAnsi" w:cstheme="minorHAnsi"/>
              </w:rPr>
              <w:t>the local Authorities</w:t>
            </w:r>
            <w:r w:rsidR="00E01E3C">
              <w:rPr>
                <w:rFonts w:asciiTheme="minorHAnsi" w:hAnsiTheme="minorHAnsi" w:cstheme="minorHAnsi"/>
              </w:rPr>
              <w:t>.</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t>
            </w:r>
            <w:r w:rsidRPr="00C85FD9">
              <w:rPr>
                <w:rFonts w:asciiTheme="minorHAnsi" w:hAnsiTheme="minorHAnsi" w:cstheme="minorHAnsi"/>
              </w:rPr>
              <w:lastRenderedPageBreak/>
              <w:t xml:space="preserve">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w:t>
            </w:r>
            <w:r w:rsidR="002752F6">
              <w:rPr>
                <w:b/>
                <w:bCs/>
              </w:rPr>
              <w:lastRenderedPageBreak/>
              <w:t>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w:t>
            </w:r>
            <w:r w:rsidRPr="009F1312">
              <w:lastRenderedPageBreak/>
              <w:t xml:space="preserve">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lastRenderedPageBreak/>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lastRenderedPageBreak/>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lastRenderedPageBreak/>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crosisings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Wide Voltage Range: 320 ~ 480V</w:t>
      </w:r>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65Hz</w:t>
      </w:r>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Output Frequency Range: 0 ~ 500Hz</w:t>
      </w:r>
    </w:p>
    <w:p w:rsidR="007E39E5" w:rsidRPr="00DB59C1" w:rsidRDefault="007E39E5" w:rsidP="00441D49">
      <w:pPr>
        <w:pStyle w:val="ListParagraph"/>
        <w:numPr>
          <w:ilvl w:val="0"/>
          <w:numId w:val="47"/>
        </w:numPr>
        <w:spacing w:after="200" w:line="276" w:lineRule="auto"/>
      </w:pPr>
      <w:r w:rsidRPr="00DB59C1">
        <w:t>Overload Capacity: 60s with 150% of rated current, 2s with 180% of rated current</w:t>
      </w:r>
    </w:p>
    <w:p w:rsidR="007E39E5" w:rsidRPr="00DB59C1" w:rsidRDefault="007E39E5" w:rsidP="00441D49">
      <w:pPr>
        <w:pStyle w:val="ListParagraph"/>
        <w:numPr>
          <w:ilvl w:val="0"/>
          <w:numId w:val="47"/>
        </w:numPr>
        <w:spacing w:after="200" w:line="276" w:lineRule="auto"/>
      </w:pPr>
      <w:r w:rsidRPr="00DB59C1">
        <w:t>From 0.75 ~ 7.5KW Plastic house; 11 ~ 630KW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Built-in RS485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All model are integrated IGBT</w:t>
      </w:r>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4B3709">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r w:rsidR="004B3709">
        <w:t>project</w:t>
      </w:r>
      <w:r w:rsidRPr="003C1B49">
        <w:t xml:space="preserve"> </w:t>
      </w:r>
      <w:r w:rsidR="004B3709" w:rsidRPr="003C1B49">
        <w:t xml:space="preserve">area. </w:t>
      </w:r>
      <w:r w:rsidRPr="003C1B49">
        <w:t>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4B3709">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lastRenderedPageBreak/>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w:t>
      </w:r>
      <w:r w:rsidR="004B3709" w:rsidRPr="00E00AEF">
        <w:t>during</w:t>
      </w:r>
      <w:r w:rsidRPr="00E00AEF">
        <w:t xml:space="preserve"> </w:t>
      </w:r>
      <w:r w:rsidR="004B3709" w:rsidRPr="00E00AEF">
        <w:t>application;</w:t>
      </w:r>
      <w:r w:rsidRPr="00E00AEF">
        <w:t xml:space="preserve"> </w:t>
      </w:r>
      <w:r w:rsidRPr="00E00AEF">
        <w:lastRenderedPageBreak/>
        <w:t xml:space="preserve">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CE597A"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4B3709" w:rsidRDefault="004B3709" w:rsidP="005B60DA">
                  <w:pPr>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4B3709" w:rsidRPr="00021F34" w:rsidRDefault="004B3709"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4B3709" w:rsidRPr="00DC0BEC" w:rsidRDefault="004B3709" w:rsidP="005B60DA">
                  <w:pPr>
                    <w:spacing w:before="100" w:beforeAutospacing="1" w:after="100" w:afterAutospacing="1"/>
                    <w:outlineLvl w:val="1"/>
                    <w:rPr>
                      <w:kern w:val="36"/>
                    </w:rPr>
                  </w:pPr>
                </w:p>
                <w:p w:rsidR="004B3709" w:rsidRDefault="004B3709"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CE597A" w:rsidP="005B60DA">
      <w:pPr>
        <w:rPr>
          <w:b/>
          <w:bCs/>
        </w:rPr>
      </w:pPr>
      <w:r>
        <w:rPr>
          <w:b/>
          <w:bCs/>
          <w:noProof/>
        </w:rPr>
        <w:pict>
          <v:shape id="_x0000_s1036" type="#_x0000_t202" style="position:absolute;margin-left:0;margin-top:24.1pt;width:414pt;height:34.2pt;z-index:251673600">
            <v:textbox>
              <w:txbxContent>
                <w:p w:rsidR="004B3709" w:rsidRDefault="004B3709" w:rsidP="005B60DA">
                  <w:pPr>
                    <w:numPr>
                      <w:ilvl w:val="0"/>
                      <w:numId w:val="49"/>
                    </w:numPr>
                  </w:pPr>
                  <w:r>
                    <w:t>Standard Specification for reinforcement Steel Bars.  ASTM 615/ Grade 60</w:t>
                  </w:r>
                </w:p>
                <w:p w:rsidR="004B3709" w:rsidRPr="00762CE7" w:rsidRDefault="004B3709" w:rsidP="005B60DA">
                  <w:pPr>
                    <w:numPr>
                      <w:ilvl w:val="0"/>
                      <w:numId w:val="49"/>
                    </w:numPr>
                  </w:pPr>
                  <w:r w:rsidRPr="00762CE7">
                    <w:t>Specification for mild steel</w:t>
                  </w:r>
                  <w:r>
                    <w:t xml:space="preserve">.   </w:t>
                  </w:r>
                  <w:r w:rsidRPr="00762CE7">
                    <w:t>BS 1722-9</w:t>
                  </w:r>
                </w:p>
                <w:p w:rsidR="004B3709" w:rsidRPr="00642EEC" w:rsidRDefault="004B3709" w:rsidP="005B60DA">
                  <w:pPr>
                    <w:pStyle w:val="Title"/>
                    <w:bidi w:val="0"/>
                  </w:pPr>
                </w:p>
              </w:txbxContent>
            </v:textbox>
            <w10:wrap type="square"/>
          </v:shape>
        </w:pict>
      </w:r>
      <w:r w:rsidR="005B60DA">
        <w:rPr>
          <w:b/>
          <w:bCs/>
        </w:rPr>
        <w:t>Steel  Bars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CE597A" w:rsidP="005B60DA">
      <w:pPr>
        <w:rPr>
          <w:b/>
          <w:bCs/>
        </w:rPr>
      </w:pPr>
      <w:r w:rsidRPr="00CE597A">
        <w:rPr>
          <w:noProof/>
        </w:rPr>
        <w:pict>
          <v:shape id="_x0000_s1034" type="#_x0000_t202" style="position:absolute;margin-left:0;margin-top:14.7pt;width:414pt;height:226.1pt;z-index:251671552">
            <v:textbox style="mso-next-textbox:#_x0000_s1034">
              <w:txbxContent>
                <w:p w:rsidR="004B3709" w:rsidRPr="00800DB4" w:rsidRDefault="004B3709"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4B3709" w:rsidRPr="00800DB4" w:rsidRDefault="004B3709" w:rsidP="005B60DA"/>
                <w:p w:rsidR="004B3709" w:rsidRPr="00800DB4" w:rsidRDefault="004B3709"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4B3709" w:rsidRPr="00800DB4" w:rsidRDefault="004B3709" w:rsidP="005B60DA">
                  <w:pPr>
                    <w:tabs>
                      <w:tab w:val="left" w:pos="2880"/>
                      <w:tab w:val="left" w:pos="3240"/>
                    </w:tabs>
                  </w:pPr>
                  <w:r w:rsidRPr="00800DB4">
                    <w:t xml:space="preserve">Mgo </w:t>
                  </w:r>
                  <w:r w:rsidRPr="00800DB4">
                    <w:tab/>
                    <w:t xml:space="preserve">: </w:t>
                  </w:r>
                  <w:r w:rsidRPr="00800DB4">
                    <w:tab/>
                    <w:t>Max 5.0</w:t>
                  </w:r>
                </w:p>
                <w:p w:rsidR="004B3709" w:rsidRPr="00800DB4" w:rsidRDefault="004B3709"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4B3709" w:rsidRPr="00800DB4" w:rsidRDefault="004B3709"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4B3709" w:rsidRPr="00800DB4" w:rsidRDefault="004B3709" w:rsidP="005B60DA">
                  <w:pPr>
                    <w:tabs>
                      <w:tab w:val="left" w:pos="2880"/>
                      <w:tab w:val="left" w:pos="3240"/>
                    </w:tabs>
                  </w:pPr>
                  <w:r w:rsidRPr="00800DB4">
                    <w:t>Soundness</w:t>
                  </w:r>
                  <w:r w:rsidRPr="00800DB4">
                    <w:tab/>
                    <w:t xml:space="preserve">: </w:t>
                  </w:r>
                  <w:r w:rsidRPr="00800DB4">
                    <w:tab/>
                    <w:t>Sound Setting Time</w:t>
                  </w:r>
                </w:p>
                <w:p w:rsidR="004B3709" w:rsidRPr="00800DB4" w:rsidRDefault="004B3709" w:rsidP="005B60DA">
                  <w:pPr>
                    <w:tabs>
                      <w:tab w:val="left" w:pos="2880"/>
                      <w:tab w:val="left" w:pos="3240"/>
                    </w:tabs>
                  </w:pPr>
                  <w:r w:rsidRPr="00800DB4">
                    <w:t>Initial Set</w:t>
                  </w:r>
                  <w:r w:rsidRPr="00800DB4">
                    <w:tab/>
                    <w:t xml:space="preserve">: </w:t>
                  </w:r>
                  <w:r w:rsidRPr="00800DB4">
                    <w:tab/>
                    <w:t>Min 45 Minutes</w:t>
                  </w:r>
                </w:p>
                <w:p w:rsidR="004B3709" w:rsidRPr="00800DB4" w:rsidRDefault="004B3709" w:rsidP="005B60DA">
                  <w:pPr>
                    <w:tabs>
                      <w:tab w:val="left" w:pos="2880"/>
                      <w:tab w:val="left" w:pos="3240"/>
                    </w:tabs>
                  </w:pPr>
                  <w:r w:rsidRPr="00800DB4">
                    <w:t>Final Set</w:t>
                  </w:r>
                  <w:r w:rsidRPr="00800DB4">
                    <w:tab/>
                    <w:t xml:space="preserve">: </w:t>
                  </w:r>
                  <w:r w:rsidRPr="00800DB4">
                    <w:tab/>
                    <w:t>Max 10 Hours</w:t>
                  </w:r>
                </w:p>
                <w:p w:rsidR="004B3709" w:rsidRPr="00800DB4" w:rsidRDefault="004B3709" w:rsidP="005B60DA">
                  <w:pPr>
                    <w:tabs>
                      <w:tab w:val="left" w:pos="2880"/>
                      <w:tab w:val="left" w:pos="3240"/>
                    </w:tabs>
                  </w:pPr>
                  <w:r w:rsidRPr="00800DB4">
                    <w:t xml:space="preserve">Compressive Strength </w:t>
                  </w:r>
                  <w:r w:rsidRPr="00800DB4">
                    <w:tab/>
                    <w:t xml:space="preserve">: </w:t>
                  </w:r>
                  <w:r w:rsidRPr="00800DB4">
                    <w:tab/>
                  </w:r>
                </w:p>
                <w:p w:rsidR="004B3709" w:rsidRPr="00800DB4" w:rsidRDefault="004B3709" w:rsidP="005B60DA">
                  <w:pPr>
                    <w:tabs>
                      <w:tab w:val="left" w:pos="2880"/>
                      <w:tab w:val="left" w:pos="3240"/>
                    </w:tabs>
                  </w:pPr>
                  <w:r w:rsidRPr="00800DB4">
                    <w:t xml:space="preserve">3 Days </w:t>
                  </w:r>
                  <w:r w:rsidRPr="00800DB4">
                    <w:tab/>
                    <w:t xml:space="preserve">: </w:t>
                  </w:r>
                  <w:r w:rsidRPr="00800DB4">
                    <w:tab/>
                    <w:t xml:space="preserve">21 Mpa , </w:t>
                  </w:r>
                </w:p>
                <w:p w:rsidR="004B3709" w:rsidRPr="00800DB4" w:rsidRDefault="004B3709" w:rsidP="005B60DA">
                  <w:pPr>
                    <w:tabs>
                      <w:tab w:val="left" w:pos="2880"/>
                      <w:tab w:val="left" w:pos="3240"/>
                    </w:tabs>
                  </w:pPr>
                  <w:r w:rsidRPr="00800DB4">
                    <w:t xml:space="preserve">28 Days </w:t>
                  </w:r>
                  <w:r w:rsidRPr="00800DB4">
                    <w:tab/>
                    <w:t xml:space="preserve">: </w:t>
                  </w:r>
                  <w:r w:rsidRPr="00800DB4">
                    <w:tab/>
                    <w:t>42.5 Mpa</w:t>
                  </w:r>
                </w:p>
                <w:p w:rsidR="004B3709" w:rsidRPr="00800DB4" w:rsidRDefault="004B3709" w:rsidP="005B60DA">
                  <w:pPr>
                    <w:tabs>
                      <w:tab w:val="left" w:pos="2880"/>
                      <w:tab w:val="left" w:pos="3240"/>
                    </w:tabs>
                  </w:pPr>
                  <w:r w:rsidRPr="00800DB4">
                    <w:t xml:space="preserve">Bending Strength </w:t>
                  </w:r>
                </w:p>
                <w:p w:rsidR="004B3709" w:rsidRPr="00800DB4" w:rsidRDefault="004B3709" w:rsidP="005B60DA">
                  <w:pPr>
                    <w:tabs>
                      <w:tab w:val="left" w:pos="2880"/>
                      <w:tab w:val="left" w:pos="3240"/>
                    </w:tabs>
                  </w:pPr>
                  <w:r w:rsidRPr="00800DB4">
                    <w:t xml:space="preserve">3 Days </w:t>
                  </w:r>
                  <w:r w:rsidRPr="00800DB4">
                    <w:tab/>
                    <w:t xml:space="preserve">: </w:t>
                  </w:r>
                  <w:r w:rsidRPr="00800DB4">
                    <w:tab/>
                    <w:t xml:space="preserve">4.0 Mpa, </w:t>
                  </w:r>
                </w:p>
                <w:p w:rsidR="004B3709" w:rsidRDefault="004B3709"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CE597A" w:rsidP="005B60DA">
      <w:pPr>
        <w:rPr>
          <w:b/>
          <w:bCs/>
        </w:rPr>
      </w:pPr>
      <w:r w:rsidRPr="00CE597A">
        <w:rPr>
          <w:noProof/>
        </w:rPr>
        <w:pict>
          <v:shape id="_x0000_s1035" type="#_x0000_t202" style="position:absolute;margin-left:0;margin-top:20.5pt;width:414pt;height:118.55pt;z-index:251672576">
            <v:textbox style="mso-next-textbox:#_x0000_s1035;mso-fit-shape-to-text:t">
              <w:txbxContent>
                <w:p w:rsidR="004B3709" w:rsidRPr="00800DB4" w:rsidRDefault="004B3709" w:rsidP="005B60DA">
                  <w:pPr>
                    <w:numPr>
                      <w:ilvl w:val="0"/>
                      <w:numId w:val="48"/>
                    </w:numPr>
                    <w:spacing w:before="100" w:beforeAutospacing="1" w:after="100" w:afterAutospacing="1"/>
                    <w:rPr>
                      <w:color w:val="000000"/>
                    </w:rPr>
                  </w:pPr>
                  <w:r w:rsidRPr="00800DB4">
                    <w:rPr>
                      <w:color w:val="000000"/>
                    </w:rPr>
                    <w:t>grading    As C-144 ASTM</w:t>
                  </w:r>
                </w:p>
                <w:p w:rsidR="004B3709" w:rsidRPr="00800DB4" w:rsidRDefault="004B3709"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4B3709" w:rsidRPr="00800DB4" w:rsidRDefault="004B3709"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4B3709" w:rsidRPr="00800DB4" w:rsidRDefault="004B3709"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4B3709" w:rsidRPr="00800DB4" w:rsidRDefault="004B3709"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4B3709" w:rsidRDefault="004B3709"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4B3709" w:rsidRPr="005810EC" w:rsidRDefault="004B3709"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CE597A" w:rsidP="005B60DA">
      <w:pPr>
        <w:rPr>
          <w:b/>
          <w:bCs/>
        </w:rPr>
      </w:pPr>
      <w:r>
        <w:rPr>
          <w:b/>
          <w:bCs/>
          <w:noProof/>
        </w:rPr>
        <w:pict>
          <v:shape id="_x0000_s1038" type="#_x0000_t202" style="position:absolute;margin-left:0;margin-top:25.1pt;width:414pt;height:50.55pt;z-index:251675648">
            <v:textbox style="mso-fit-shape-to-text:t">
              <w:txbxContent>
                <w:p w:rsidR="004B3709" w:rsidRPr="00DD6B40" w:rsidRDefault="004B3709" w:rsidP="005B60DA">
                  <w:pPr>
                    <w:pStyle w:val="Heading3"/>
                    <w:rPr>
                      <w:sz w:val="24"/>
                      <w:szCs w:val="24"/>
                    </w:rPr>
                  </w:pPr>
                  <w:r w:rsidRPr="00DD6B40">
                    <w:rPr>
                      <w:b w:val="0"/>
                      <w:bCs w:val="0"/>
                      <w:sz w:val="24"/>
                      <w:szCs w:val="24"/>
                    </w:rPr>
                    <w:t>ASTM D 449 Standard Specification for Asphalt Used in Waterproofing</w:t>
                  </w:r>
                </w:p>
                <w:p w:rsidR="004B3709" w:rsidRPr="00DD6B40" w:rsidRDefault="004B3709"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lastRenderedPageBreak/>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4B3709">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130" w:rsidRDefault="00155130" w:rsidP="00432E05">
      <w:r>
        <w:separator/>
      </w:r>
    </w:p>
  </w:endnote>
  <w:endnote w:type="continuationSeparator" w:id="0">
    <w:p w:rsidR="00155130" w:rsidRDefault="00155130"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709" w:rsidRDefault="004B3709">
    <w:pPr>
      <w:pStyle w:val="Footer"/>
    </w:pPr>
  </w:p>
  <w:p w:rsidR="004B3709" w:rsidRDefault="004B37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130" w:rsidRDefault="00155130" w:rsidP="00432E05">
      <w:r>
        <w:separator/>
      </w:r>
    </w:p>
  </w:footnote>
  <w:footnote w:type="continuationSeparator" w:id="0">
    <w:p w:rsidR="00155130" w:rsidRDefault="00155130"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hideSpellingErrors/>
  <w:proofState w:spelling="clean" w:grammar="clean"/>
  <w:stylePaneFormatFilter w:val="3F01"/>
  <w:defaultTabStop w:val="720"/>
  <w:characterSpacingControl w:val="doNotCompress"/>
  <w:hdrShapeDefaults>
    <o:shapedefaults v:ext="edit" spidmax="107522"/>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130"/>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7632"/>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BDD"/>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0FCC"/>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675"/>
    <w:rsid w:val="00391DEF"/>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40F29"/>
    <w:rsid w:val="00441C62"/>
    <w:rsid w:val="00441D49"/>
    <w:rsid w:val="0044368F"/>
    <w:rsid w:val="004476AF"/>
    <w:rsid w:val="004511BE"/>
    <w:rsid w:val="00451359"/>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7F2"/>
    <w:rsid w:val="004A6C0A"/>
    <w:rsid w:val="004B059B"/>
    <w:rsid w:val="004B0FF6"/>
    <w:rsid w:val="004B1F38"/>
    <w:rsid w:val="004B351D"/>
    <w:rsid w:val="004B3709"/>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10210"/>
    <w:rsid w:val="00514FA7"/>
    <w:rsid w:val="005159BF"/>
    <w:rsid w:val="00515B84"/>
    <w:rsid w:val="00516C82"/>
    <w:rsid w:val="00520451"/>
    <w:rsid w:val="00521C52"/>
    <w:rsid w:val="005229B2"/>
    <w:rsid w:val="00524CC7"/>
    <w:rsid w:val="00527F97"/>
    <w:rsid w:val="005317EC"/>
    <w:rsid w:val="005324CD"/>
    <w:rsid w:val="00533A00"/>
    <w:rsid w:val="00537698"/>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3274"/>
    <w:rsid w:val="00563304"/>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D3A"/>
    <w:rsid w:val="005C6FFD"/>
    <w:rsid w:val="005C77B5"/>
    <w:rsid w:val="005C7CD1"/>
    <w:rsid w:val="005C7EB6"/>
    <w:rsid w:val="005D3E91"/>
    <w:rsid w:val="005E03A4"/>
    <w:rsid w:val="005E0A84"/>
    <w:rsid w:val="005E206A"/>
    <w:rsid w:val="005E37A9"/>
    <w:rsid w:val="005E3BD8"/>
    <w:rsid w:val="005E53F3"/>
    <w:rsid w:val="005F08D8"/>
    <w:rsid w:val="005F0DE3"/>
    <w:rsid w:val="005F35A8"/>
    <w:rsid w:val="005F5B21"/>
    <w:rsid w:val="005F60D6"/>
    <w:rsid w:val="005F67FF"/>
    <w:rsid w:val="005F7C06"/>
    <w:rsid w:val="005F7E28"/>
    <w:rsid w:val="00602C39"/>
    <w:rsid w:val="00603E03"/>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495D"/>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4451"/>
    <w:rsid w:val="006A45F2"/>
    <w:rsid w:val="006A48D5"/>
    <w:rsid w:val="006A48FA"/>
    <w:rsid w:val="006A5ADE"/>
    <w:rsid w:val="006A5D1B"/>
    <w:rsid w:val="006A741F"/>
    <w:rsid w:val="006A7B8B"/>
    <w:rsid w:val="006A7DBE"/>
    <w:rsid w:val="006B06C9"/>
    <w:rsid w:val="006B2C08"/>
    <w:rsid w:val="006B2F1E"/>
    <w:rsid w:val="006B47E6"/>
    <w:rsid w:val="006B53A8"/>
    <w:rsid w:val="006B6490"/>
    <w:rsid w:val="006B6550"/>
    <w:rsid w:val="006B6CA1"/>
    <w:rsid w:val="006B7110"/>
    <w:rsid w:val="006B7FE3"/>
    <w:rsid w:val="006C009F"/>
    <w:rsid w:val="006C1B9B"/>
    <w:rsid w:val="006C1D4F"/>
    <w:rsid w:val="006C4262"/>
    <w:rsid w:val="006C5922"/>
    <w:rsid w:val="006C607A"/>
    <w:rsid w:val="006C61A0"/>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285B"/>
    <w:rsid w:val="0098346A"/>
    <w:rsid w:val="009844A7"/>
    <w:rsid w:val="00984820"/>
    <w:rsid w:val="009853AA"/>
    <w:rsid w:val="00985595"/>
    <w:rsid w:val="009859A7"/>
    <w:rsid w:val="00985BD0"/>
    <w:rsid w:val="009866D5"/>
    <w:rsid w:val="00986E83"/>
    <w:rsid w:val="00986F90"/>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59B9"/>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7357"/>
    <w:rsid w:val="00BF73DE"/>
    <w:rsid w:val="00BF78CA"/>
    <w:rsid w:val="00C00D5C"/>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072"/>
    <w:rsid w:val="00C32888"/>
    <w:rsid w:val="00C34848"/>
    <w:rsid w:val="00C354F7"/>
    <w:rsid w:val="00C4075C"/>
    <w:rsid w:val="00C40AFE"/>
    <w:rsid w:val="00C41871"/>
    <w:rsid w:val="00C41AEB"/>
    <w:rsid w:val="00C44C47"/>
    <w:rsid w:val="00C464EF"/>
    <w:rsid w:val="00C46D42"/>
    <w:rsid w:val="00C4721F"/>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597A"/>
    <w:rsid w:val="00CE6439"/>
    <w:rsid w:val="00CE71BE"/>
    <w:rsid w:val="00CF20B5"/>
    <w:rsid w:val="00CF365D"/>
    <w:rsid w:val="00CF3F99"/>
    <w:rsid w:val="00CF4508"/>
    <w:rsid w:val="00CF4E80"/>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AE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176E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916"/>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101"/>
    <w:rsid w:val="00F1150D"/>
    <w:rsid w:val="00F135EE"/>
    <w:rsid w:val="00F13652"/>
    <w:rsid w:val="00F13873"/>
    <w:rsid w:val="00F146C1"/>
    <w:rsid w:val="00F14E4B"/>
    <w:rsid w:val="00F14F18"/>
    <w:rsid w:val="00F15DF6"/>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1626"/>
    <w:rsid w:val="00FA2EB8"/>
    <w:rsid w:val="00FA6268"/>
    <w:rsid w:val="00FB08D7"/>
    <w:rsid w:val="00FB0C73"/>
    <w:rsid w:val="00FB1C4E"/>
    <w:rsid w:val="00FB2183"/>
    <w:rsid w:val="00FB2E34"/>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3F7F1-605F-4E08-A58E-5468F70C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65</Pages>
  <Words>18097</Words>
  <Characters>103156</Characters>
  <Application>Microsoft Office Word</Application>
  <DocSecurity>0</DocSecurity>
  <Lines>859</Lines>
  <Paragraphs>242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121011</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16</cp:revision>
  <cp:lastPrinted>2018-06-03T08:50:00Z</cp:lastPrinted>
  <dcterms:created xsi:type="dcterms:W3CDTF">2020-10-21T10:33:00Z</dcterms:created>
  <dcterms:modified xsi:type="dcterms:W3CDTF">2020-10-21T11:32:00Z</dcterms:modified>
</cp:coreProperties>
</file>