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1BE" w:rsidRPr="003E71BE" w:rsidRDefault="003E71BE" w:rsidP="003E71BE">
      <w:pPr>
        <w:pStyle w:val="Heading2"/>
        <w:shd w:val="clear" w:color="auto" w:fill="FFFFFF"/>
        <w:spacing w:before="318" w:beforeAutospacing="0" w:after="106" w:afterAutospacing="0"/>
        <w:rPr>
          <w:rFonts w:ascii="Verdana" w:hAnsi="Verdana"/>
          <w:color w:val="626262"/>
          <w:sz w:val="38"/>
          <w:szCs w:val="38"/>
        </w:rPr>
      </w:pPr>
      <w:r>
        <w:br w:type="page"/>
      </w:r>
      <w:r w:rsidRPr="003E71BE">
        <w:rPr>
          <w:rFonts w:ascii="Verdana" w:hAnsi="Verdana"/>
          <w:color w:val="626262"/>
          <w:sz w:val="38"/>
          <w:szCs w:val="38"/>
        </w:rPr>
        <w:lastRenderedPageBreak/>
        <w:br/>
        <w:t>PE &amp; HDPE PE100 Pipe Properties</w:t>
      </w:r>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 xml:space="preserve">Minimum Required Strength (MRS): 10.0 </w:t>
      </w:r>
      <w:proofErr w:type="spellStart"/>
      <w:r w:rsidRPr="003E71BE">
        <w:rPr>
          <w:rFonts w:ascii="Verdana" w:eastAsia="Times New Roman" w:hAnsi="Verdana" w:cs="Times New Roman"/>
          <w:color w:val="626262"/>
          <w:sz w:val="37"/>
          <w:szCs w:val="37"/>
        </w:rPr>
        <w:t>MPa</w:t>
      </w:r>
      <w:proofErr w:type="spellEnd"/>
      <w:r w:rsidRPr="003E71BE">
        <w:rPr>
          <w:rFonts w:ascii="Verdana" w:eastAsia="Times New Roman" w:hAnsi="Verdana" w:cs="Times New Roman"/>
          <w:color w:val="626262"/>
          <w:sz w:val="37"/>
          <w:szCs w:val="37"/>
        </w:rPr>
        <w:t xml:space="preserve"> (1450 psi)</w:t>
      </w:r>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 xml:space="preserve">Hydrostatic Design Basis (HDB) Pressure: 1600 psi (11 </w:t>
      </w:r>
      <w:proofErr w:type="spellStart"/>
      <w:r w:rsidRPr="003E71BE">
        <w:rPr>
          <w:rFonts w:ascii="Verdana" w:eastAsia="Times New Roman" w:hAnsi="Verdana" w:cs="Times New Roman"/>
          <w:color w:val="626262"/>
          <w:sz w:val="37"/>
          <w:szCs w:val="37"/>
        </w:rPr>
        <w:t>MPa</w:t>
      </w:r>
      <w:proofErr w:type="spellEnd"/>
      <w:r w:rsidRPr="003E71BE">
        <w:rPr>
          <w:rFonts w:ascii="Verdana" w:eastAsia="Times New Roman" w:hAnsi="Verdana" w:cs="Times New Roman"/>
          <w:color w:val="626262"/>
          <w:sz w:val="37"/>
          <w:szCs w:val="37"/>
        </w:rPr>
        <w:t>)</w:t>
      </w:r>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 xml:space="preserve">Allowable Compressive Strength: 7.93 </w:t>
      </w:r>
      <w:proofErr w:type="spellStart"/>
      <w:r w:rsidRPr="003E71BE">
        <w:rPr>
          <w:rFonts w:ascii="Verdana" w:eastAsia="Times New Roman" w:hAnsi="Verdana" w:cs="Times New Roman"/>
          <w:color w:val="626262"/>
          <w:sz w:val="37"/>
          <w:szCs w:val="37"/>
        </w:rPr>
        <w:t>MPa</w:t>
      </w:r>
      <w:proofErr w:type="spellEnd"/>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 xml:space="preserve">Tensile Strength at Yield: 23 </w:t>
      </w:r>
      <w:proofErr w:type="spellStart"/>
      <w:r w:rsidRPr="003E71BE">
        <w:rPr>
          <w:rFonts w:ascii="Verdana" w:eastAsia="Times New Roman" w:hAnsi="Verdana" w:cs="Times New Roman"/>
          <w:color w:val="626262"/>
          <w:sz w:val="37"/>
          <w:szCs w:val="37"/>
        </w:rPr>
        <w:t>MPa</w:t>
      </w:r>
      <w:proofErr w:type="spellEnd"/>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Elongation at Break: &gt;600%</w:t>
      </w:r>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 xml:space="preserve">Modulus of Elasticity (50 years): 200 </w:t>
      </w:r>
      <w:proofErr w:type="spellStart"/>
      <w:r w:rsidRPr="003E71BE">
        <w:rPr>
          <w:rFonts w:ascii="Verdana" w:eastAsia="Times New Roman" w:hAnsi="Verdana" w:cs="Times New Roman"/>
          <w:color w:val="626262"/>
          <w:sz w:val="37"/>
          <w:szCs w:val="37"/>
        </w:rPr>
        <w:t>MPa</w:t>
      </w:r>
      <w:proofErr w:type="spellEnd"/>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 xml:space="preserve">Flexural Modulus: 1000 </w:t>
      </w:r>
      <w:proofErr w:type="spellStart"/>
      <w:r w:rsidRPr="003E71BE">
        <w:rPr>
          <w:rFonts w:ascii="Verdana" w:eastAsia="Times New Roman" w:hAnsi="Verdana" w:cs="Times New Roman"/>
          <w:color w:val="626262"/>
          <w:sz w:val="37"/>
          <w:szCs w:val="37"/>
        </w:rPr>
        <w:t>MPa</w:t>
      </w:r>
      <w:proofErr w:type="spellEnd"/>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Poisson’s Ratio: 0.45</w:t>
      </w:r>
    </w:p>
    <w:p w:rsidR="003E71BE" w:rsidRPr="003E71BE" w:rsidRDefault="003E71BE" w:rsidP="003E71BE">
      <w:pPr>
        <w:numPr>
          <w:ilvl w:val="0"/>
          <w:numId w:val="1"/>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Thermal Expansion Co-efficient: 1.3 x 10-4 °C-1</w:t>
      </w:r>
    </w:p>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r w:rsidRPr="003E71BE">
        <w:rPr>
          <w:rFonts w:ascii="Verdana" w:eastAsia="Times New Roman" w:hAnsi="Verdana" w:cs="Times New Roman"/>
          <w:color w:val="626262"/>
          <w:sz w:val="28"/>
          <w:szCs w:val="28"/>
        </w:rPr>
        <w:t>Friction Co-</w:t>
      </w:r>
      <w:proofErr w:type="spellStart"/>
      <w:r w:rsidRPr="003E71BE">
        <w:rPr>
          <w:rFonts w:ascii="Verdana" w:eastAsia="Times New Roman" w:hAnsi="Verdana" w:cs="Times New Roman"/>
          <w:color w:val="626262"/>
          <w:sz w:val="28"/>
          <w:szCs w:val="28"/>
        </w:rPr>
        <w:t>efficients</w:t>
      </w:r>
      <w:proofErr w:type="spellEnd"/>
      <w:r w:rsidRPr="003E71BE">
        <w:rPr>
          <w:rFonts w:ascii="Verdana" w:eastAsia="Times New Roman" w:hAnsi="Verdana" w:cs="Times New Roman"/>
          <w:color w:val="626262"/>
          <w:sz w:val="28"/>
          <w:szCs w:val="28"/>
        </w:rPr>
        <w:t>:</w:t>
      </w:r>
    </w:p>
    <w:p w:rsidR="003E71BE" w:rsidRPr="003E71BE" w:rsidRDefault="003E71BE" w:rsidP="003E71BE">
      <w:pPr>
        <w:numPr>
          <w:ilvl w:val="0"/>
          <w:numId w:val="2"/>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Colebrook-White: 0.00152mm</w:t>
      </w:r>
    </w:p>
    <w:p w:rsidR="003E71BE" w:rsidRPr="003E71BE" w:rsidRDefault="003E71BE" w:rsidP="003E71BE">
      <w:pPr>
        <w:numPr>
          <w:ilvl w:val="0"/>
          <w:numId w:val="2"/>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Hazen-Williams: 150-155</w:t>
      </w:r>
    </w:p>
    <w:p w:rsidR="003E71BE" w:rsidRPr="003E71BE" w:rsidRDefault="003E71BE" w:rsidP="003E71BE">
      <w:pPr>
        <w:numPr>
          <w:ilvl w:val="0"/>
          <w:numId w:val="2"/>
        </w:numPr>
        <w:shd w:val="clear" w:color="auto" w:fill="FFFFFF"/>
        <w:spacing w:before="100" w:beforeAutospacing="1" w:after="100" w:afterAutospacing="1" w:line="384" w:lineRule="atLeast"/>
        <w:rPr>
          <w:rFonts w:ascii="Verdana" w:eastAsia="Times New Roman" w:hAnsi="Verdana" w:cs="Times New Roman"/>
          <w:color w:val="626262"/>
          <w:sz w:val="37"/>
          <w:szCs w:val="37"/>
        </w:rPr>
      </w:pPr>
      <w:r w:rsidRPr="003E71BE">
        <w:rPr>
          <w:rFonts w:ascii="Verdana" w:eastAsia="Times New Roman" w:hAnsi="Verdana" w:cs="Times New Roman"/>
          <w:color w:val="626262"/>
          <w:sz w:val="37"/>
          <w:szCs w:val="37"/>
        </w:rPr>
        <w:t>Manning: 0.009 (water); 0.010 (sewage)</w:t>
      </w:r>
    </w:p>
    <w:p w:rsidR="003E71BE" w:rsidRPr="003E71BE" w:rsidRDefault="003E71BE" w:rsidP="003E71BE">
      <w:pPr>
        <w:shd w:val="clear" w:color="auto" w:fill="FFFFFF"/>
        <w:spacing w:before="318" w:after="106" w:line="240" w:lineRule="auto"/>
        <w:outlineLvl w:val="2"/>
        <w:rPr>
          <w:rFonts w:ascii="Verdana" w:eastAsia="Times New Roman" w:hAnsi="Verdana" w:cs="Times New Roman"/>
          <w:b/>
          <w:bCs/>
          <w:color w:val="626262"/>
          <w:sz w:val="33"/>
          <w:szCs w:val="33"/>
        </w:rPr>
      </w:pPr>
      <w:r w:rsidRPr="003E71BE">
        <w:rPr>
          <w:rFonts w:ascii="Verdana" w:eastAsia="Times New Roman" w:hAnsi="Verdana" w:cs="Times New Roman"/>
          <w:b/>
          <w:bCs/>
          <w:color w:val="626262"/>
          <w:sz w:val="33"/>
          <w:szCs w:val="33"/>
        </w:rPr>
        <w:t>Temperature Resistance of PE pipe</w:t>
      </w:r>
    </w:p>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r w:rsidRPr="003E71BE">
        <w:rPr>
          <w:rFonts w:ascii="Verdana" w:eastAsia="Times New Roman" w:hAnsi="Verdana" w:cs="Times New Roman"/>
          <w:b/>
          <w:bCs/>
          <w:color w:val="626262"/>
          <w:sz w:val="28"/>
        </w:rPr>
        <w:lastRenderedPageBreak/>
        <w:t>The properties of HDPE PE100 pipe</w:t>
      </w:r>
      <w:r w:rsidRPr="003E71BE">
        <w:rPr>
          <w:rFonts w:ascii="Verdana" w:eastAsia="Times New Roman" w:hAnsi="Verdana" w:cs="Times New Roman"/>
          <w:color w:val="626262"/>
          <w:sz w:val="28"/>
          <w:szCs w:val="28"/>
        </w:rPr>
        <w:t> are determined at standard temperatures of 20°C or 23°C. These properties can be significantly affected by temperature, so at higher temperature the properties, including MRS, decrease. At higher temperatures it may be necessary to apply reduction factors to MRS, and consequently MOP. Some Codes and Standards define the reduction factors that must be applied; AWWA C901 and C906 for example. Otherwise there are standard reduction factors that can be applied in design. ISO13761:1996 defines reduction factors to be applied to MOP at higher temperatures. These are shown below.</w:t>
      </w:r>
    </w:p>
    <w:tbl>
      <w:tblPr>
        <w:tblW w:w="18635" w:type="dxa"/>
        <w:shd w:val="clear" w:color="auto" w:fill="FFFFFF"/>
        <w:tblCellMar>
          <w:top w:w="150" w:type="dxa"/>
          <w:left w:w="150" w:type="dxa"/>
          <w:bottom w:w="150" w:type="dxa"/>
          <w:right w:w="150" w:type="dxa"/>
        </w:tblCellMar>
        <w:tblLook w:val="04A0"/>
      </w:tblPr>
      <w:tblGrid>
        <w:gridCol w:w="10130"/>
        <w:gridCol w:w="1701"/>
        <w:gridCol w:w="1701"/>
        <w:gridCol w:w="1701"/>
        <w:gridCol w:w="1701"/>
        <w:gridCol w:w="1701"/>
      </w:tblGrid>
      <w:tr w:rsidR="003E71BE" w:rsidRPr="003E71BE" w:rsidTr="003E71BE">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proofErr w:type="spellStart"/>
            <w:r w:rsidRPr="003E71BE">
              <w:rPr>
                <w:rFonts w:ascii="Verdana" w:eastAsia="Times New Roman" w:hAnsi="Verdana" w:cs="Times New Roman"/>
                <w:b/>
                <w:bCs/>
                <w:color w:val="626262"/>
                <w:sz w:val="32"/>
              </w:rPr>
              <w:t>Temperatue</w:t>
            </w:r>
            <w:proofErr w:type="spellEnd"/>
            <w:r w:rsidRPr="003E71BE">
              <w:rPr>
                <w:rFonts w:ascii="Verdana" w:eastAsia="Times New Roman" w:hAnsi="Verdana" w:cs="Times New Roman"/>
                <w:b/>
                <w:bCs/>
                <w:color w:val="626262"/>
                <w:sz w:val="32"/>
              </w:rPr>
              <w:t xml:space="preserve"> °C</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20</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25</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30</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35</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40</w:t>
            </w:r>
          </w:p>
        </w:tc>
      </w:tr>
      <w:tr w:rsidR="003E71BE" w:rsidRPr="003E71BE" w:rsidTr="003E71BE">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b/>
                <w:bCs/>
                <w:color w:val="626262"/>
                <w:sz w:val="32"/>
              </w:rPr>
              <w:t>Pressure Reduction Factor</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1.00</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0.93</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0.87</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0.80</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jc w:val="center"/>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0.74</w:t>
            </w:r>
          </w:p>
        </w:tc>
      </w:tr>
    </w:tbl>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r w:rsidRPr="003E71BE">
        <w:rPr>
          <w:rFonts w:ascii="Verdana" w:eastAsia="Times New Roman" w:hAnsi="Verdana" w:cs="Times New Roman"/>
          <w:color w:val="626262"/>
          <w:sz w:val="24"/>
          <w:szCs w:val="24"/>
        </w:rPr>
        <w:br/>
        <w:t>In the USA the Plastics Pipe Institute Handbook of </w:t>
      </w:r>
      <w:hyperlink r:id="rId5" w:tooltip="PE100 (Polyethylene pipe) is the third generation of pipe grade PE" w:history="1">
        <w:r w:rsidRPr="003E71BE">
          <w:rPr>
            <w:rFonts w:ascii="Verdana" w:eastAsia="Times New Roman" w:hAnsi="Verdana" w:cs="Times New Roman"/>
            <w:color w:val="1C4C98"/>
            <w:sz w:val="24"/>
            <w:szCs w:val="24"/>
          </w:rPr>
          <w:t>Polyethylene Pipe</w:t>
        </w:r>
      </w:hyperlink>
      <w:r w:rsidRPr="003E71BE">
        <w:rPr>
          <w:rFonts w:ascii="Verdana" w:eastAsia="Times New Roman" w:hAnsi="Verdana" w:cs="Times New Roman"/>
          <w:color w:val="626262"/>
          <w:sz w:val="24"/>
          <w:szCs w:val="24"/>
        </w:rPr>
        <w:t> Table A.2 includes the following reduction factors. The correlation with the ISO factors is clear.</w:t>
      </w:r>
    </w:p>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proofErr w:type="gramStart"/>
      <w:r w:rsidRPr="003E71BE">
        <w:rPr>
          <w:rFonts w:ascii="Verdana" w:eastAsia="Times New Roman" w:hAnsi="Verdana" w:cs="Times New Roman"/>
          <w:color w:val="626262"/>
          <w:sz w:val="28"/>
          <w:szCs w:val="28"/>
        </w:rPr>
        <w:t>design</w:t>
      </w:r>
      <w:proofErr w:type="gramEnd"/>
      <w:r w:rsidRPr="003E71BE">
        <w:rPr>
          <w:rFonts w:ascii="Verdana" w:eastAsia="Times New Roman" w:hAnsi="Verdana" w:cs="Times New Roman"/>
          <w:color w:val="626262"/>
          <w:sz w:val="28"/>
          <w:szCs w:val="28"/>
        </w:rPr>
        <w:t>. ISO13761:1996 defines reduction factors to be applied to MOP at higher temperatures. These are shown below.</w:t>
      </w:r>
    </w:p>
    <w:tbl>
      <w:tblPr>
        <w:tblW w:w="18635" w:type="dxa"/>
        <w:shd w:val="clear" w:color="auto" w:fill="FFFFFF"/>
        <w:tblCellMar>
          <w:top w:w="150" w:type="dxa"/>
          <w:left w:w="150" w:type="dxa"/>
          <w:bottom w:w="150" w:type="dxa"/>
          <w:right w:w="150" w:type="dxa"/>
        </w:tblCellMar>
        <w:tblLook w:val="04A0"/>
      </w:tblPr>
      <w:tblGrid>
        <w:gridCol w:w="8791"/>
        <w:gridCol w:w="2368"/>
        <w:gridCol w:w="2368"/>
        <w:gridCol w:w="2368"/>
        <w:gridCol w:w="2740"/>
      </w:tblGrid>
      <w:tr w:rsidR="003E71BE" w:rsidRPr="003E71BE" w:rsidTr="003E71BE">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proofErr w:type="spellStart"/>
            <w:r w:rsidRPr="003E71BE">
              <w:rPr>
                <w:rFonts w:ascii="Verdana" w:eastAsia="Times New Roman" w:hAnsi="Verdana" w:cs="Times New Roman"/>
                <w:b/>
                <w:bCs/>
                <w:color w:val="626262"/>
                <w:sz w:val="32"/>
              </w:rPr>
              <w:lastRenderedPageBreak/>
              <w:t>Temperatue</w:t>
            </w:r>
            <w:proofErr w:type="spellEnd"/>
            <w:r w:rsidRPr="003E71BE">
              <w:rPr>
                <w:rFonts w:ascii="Verdana" w:eastAsia="Times New Roman" w:hAnsi="Verdana" w:cs="Times New Roman"/>
                <w:b/>
                <w:bCs/>
                <w:color w:val="626262"/>
                <w:sz w:val="32"/>
              </w:rPr>
              <w:t xml:space="preserve"> °F (°C)</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73 (32)</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80 (27)</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90 (32)</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100 (38)</w:t>
            </w:r>
          </w:p>
        </w:tc>
      </w:tr>
      <w:tr w:rsidR="003E71BE" w:rsidRPr="003E71BE" w:rsidTr="003E71BE">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b/>
                <w:bCs/>
                <w:color w:val="626262"/>
                <w:sz w:val="32"/>
              </w:rPr>
              <w:t>Pressure Reduction Factor</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1.00</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0.94</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0.86</w:t>
            </w:r>
          </w:p>
        </w:tc>
        <w:tc>
          <w:tcPr>
            <w:tcW w:w="0" w:type="auto"/>
            <w:tcBorders>
              <w:bottom w:val="single" w:sz="8" w:space="0" w:color="D2D2D2"/>
            </w:tcBorders>
            <w:shd w:val="clear" w:color="auto" w:fill="FFFFFF"/>
            <w:tcMar>
              <w:top w:w="42" w:type="dxa"/>
              <w:left w:w="42" w:type="dxa"/>
              <w:bottom w:w="42" w:type="dxa"/>
              <w:right w:w="42" w:type="dxa"/>
            </w:tcMar>
            <w:vAlign w:val="center"/>
            <w:hideMark/>
          </w:tcPr>
          <w:p w:rsidR="003E71BE" w:rsidRPr="003E71BE" w:rsidRDefault="003E71BE" w:rsidP="003E71BE">
            <w:pPr>
              <w:spacing w:before="318" w:after="318" w:line="240" w:lineRule="auto"/>
              <w:rPr>
                <w:rFonts w:ascii="Verdana" w:eastAsia="Times New Roman" w:hAnsi="Verdana" w:cs="Times New Roman"/>
                <w:color w:val="626262"/>
                <w:sz w:val="32"/>
                <w:szCs w:val="32"/>
              </w:rPr>
            </w:pPr>
            <w:r w:rsidRPr="003E71BE">
              <w:rPr>
                <w:rFonts w:ascii="Verdana" w:eastAsia="Times New Roman" w:hAnsi="Verdana" w:cs="Times New Roman"/>
                <w:color w:val="626262"/>
                <w:sz w:val="32"/>
                <w:szCs w:val="32"/>
              </w:rPr>
              <w:t>0.78</w:t>
            </w:r>
          </w:p>
        </w:tc>
      </w:tr>
    </w:tbl>
    <w:p w:rsidR="003E71BE" w:rsidRPr="003E71BE" w:rsidRDefault="003E71BE" w:rsidP="003E71BE">
      <w:pPr>
        <w:shd w:val="clear" w:color="auto" w:fill="FFFFFF"/>
        <w:spacing w:before="318" w:after="106" w:line="240" w:lineRule="auto"/>
        <w:outlineLvl w:val="2"/>
        <w:rPr>
          <w:rFonts w:ascii="Verdana" w:eastAsia="Times New Roman" w:hAnsi="Verdana" w:cs="Times New Roman"/>
          <w:b/>
          <w:bCs/>
          <w:color w:val="626262"/>
          <w:sz w:val="33"/>
          <w:szCs w:val="33"/>
        </w:rPr>
      </w:pPr>
      <w:r w:rsidRPr="003E71BE">
        <w:rPr>
          <w:rFonts w:ascii="Verdana" w:eastAsia="Times New Roman" w:hAnsi="Verdana" w:cs="Times New Roman"/>
          <w:b/>
          <w:bCs/>
          <w:color w:val="626262"/>
          <w:sz w:val="33"/>
          <w:szCs w:val="33"/>
        </w:rPr>
        <w:br/>
        <w:t>Abrasion Resistance</w:t>
      </w:r>
    </w:p>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r w:rsidRPr="003E71BE">
        <w:rPr>
          <w:rFonts w:ascii="Verdana" w:eastAsia="Times New Roman" w:hAnsi="Verdana" w:cs="Times New Roman"/>
          <w:color w:val="626262"/>
          <w:sz w:val="28"/>
          <w:szCs w:val="28"/>
        </w:rPr>
        <w:t>This is a consideration in wastewater rising/force mains in which there are solids transported with the water and pump operation sequences can result in solids rubbing along the pipe invert. PE100 has the best abrasion resistance of the commonly used pressure pipe materials. This is illustrated in the Figure below.</w:t>
      </w:r>
    </w:p>
    <w:p w:rsidR="003E71BE" w:rsidRPr="003E71BE" w:rsidRDefault="003E71BE" w:rsidP="003E71BE">
      <w:pPr>
        <w:shd w:val="clear" w:color="auto" w:fill="FFFFFF"/>
        <w:spacing w:before="212" w:after="212" w:line="384" w:lineRule="atLeast"/>
        <w:jc w:val="center"/>
        <w:rPr>
          <w:rFonts w:ascii="Verdana" w:eastAsia="Times New Roman" w:hAnsi="Verdana" w:cs="Times New Roman"/>
          <w:color w:val="626262"/>
          <w:sz w:val="28"/>
          <w:szCs w:val="28"/>
        </w:rPr>
      </w:pPr>
      <w:r w:rsidRPr="003E71BE">
        <w:rPr>
          <w:rFonts w:ascii="Verdana" w:eastAsia="Times New Roman" w:hAnsi="Verdana" w:cs="Times New Roman"/>
          <w:color w:val="626262"/>
          <w:sz w:val="28"/>
          <w:szCs w:val="28"/>
        </w:rPr>
        <w:lastRenderedPageBreak/>
        <w:br/>
      </w:r>
      <w:r>
        <w:rPr>
          <w:rFonts w:ascii="Verdana" w:eastAsia="Times New Roman" w:hAnsi="Verdana" w:cs="Times New Roman"/>
          <w:noProof/>
          <w:color w:val="626262"/>
          <w:sz w:val="28"/>
          <w:szCs w:val="28"/>
        </w:rPr>
        <w:drawing>
          <wp:inline distT="0" distB="0" distL="0" distR="0">
            <wp:extent cx="5808980" cy="3738245"/>
            <wp:effectExtent l="19050" t="0" r="1270" b="0"/>
            <wp:docPr id="1" name="Picture 1" descr="PE100 has the best abrasion resistance of the commonly used pressure pipe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100 has the best abrasion resistance of the commonly used pressure pipe materials"/>
                    <pic:cNvPicPr>
                      <a:picLocks noChangeAspect="1" noChangeArrowheads="1"/>
                    </pic:cNvPicPr>
                  </pic:nvPicPr>
                  <pic:blipFill>
                    <a:blip r:embed="rId6" cstate="print"/>
                    <a:srcRect/>
                    <a:stretch>
                      <a:fillRect/>
                    </a:stretch>
                  </pic:blipFill>
                  <pic:spPr bwMode="auto">
                    <a:xfrm>
                      <a:off x="0" y="0"/>
                      <a:ext cx="5808980" cy="3738245"/>
                    </a:xfrm>
                    <a:prstGeom prst="rect">
                      <a:avLst/>
                    </a:prstGeom>
                    <a:noFill/>
                    <a:ln w="9525">
                      <a:noFill/>
                      <a:miter lim="800000"/>
                      <a:headEnd/>
                      <a:tailEnd/>
                    </a:ln>
                  </pic:spPr>
                </pic:pic>
              </a:graphicData>
            </a:graphic>
          </wp:inline>
        </w:drawing>
      </w:r>
    </w:p>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r w:rsidRPr="003E71BE">
        <w:rPr>
          <w:rFonts w:ascii="Verdana" w:eastAsia="Times New Roman" w:hAnsi="Verdana" w:cs="Times New Roman"/>
          <w:color w:val="626262"/>
          <w:sz w:val="28"/>
          <w:szCs w:val="28"/>
        </w:rPr>
        <w:t>The magnitude of wear depends on the angle of impingement and the type of material being eroded. At close to 90 degree impingement angles (</w:t>
      </w:r>
      <w:r w:rsidRPr="003E71BE">
        <w:rPr>
          <w:rFonts w:ascii="Verdana" w:eastAsia="Times New Roman" w:hAnsi="Verdana" w:cs="Times New Roman"/>
          <w:i/>
          <w:iCs/>
          <w:color w:val="626262"/>
          <w:sz w:val="28"/>
          <w:u w:val="single"/>
        </w:rPr>
        <w:t>impact abrasion</w:t>
      </w:r>
      <w:r w:rsidRPr="003E71BE">
        <w:rPr>
          <w:rFonts w:ascii="Verdana" w:eastAsia="Times New Roman" w:hAnsi="Verdana" w:cs="Times New Roman"/>
          <w:color w:val="626262"/>
          <w:sz w:val="28"/>
          <w:szCs w:val="28"/>
        </w:rPr>
        <w:t>)</w:t>
      </w:r>
      <w:proofErr w:type="gramStart"/>
      <w:r w:rsidRPr="003E71BE">
        <w:rPr>
          <w:rFonts w:ascii="Verdana" w:eastAsia="Times New Roman" w:hAnsi="Verdana" w:cs="Times New Roman"/>
          <w:color w:val="626262"/>
          <w:sz w:val="28"/>
          <w:szCs w:val="28"/>
        </w:rPr>
        <w:t>,</w:t>
      </w:r>
      <w:proofErr w:type="gramEnd"/>
      <w:r w:rsidRPr="003E71BE">
        <w:rPr>
          <w:rFonts w:ascii="Verdana" w:eastAsia="Times New Roman" w:hAnsi="Verdana" w:cs="Times New Roman"/>
          <w:color w:val="626262"/>
          <w:sz w:val="28"/>
          <w:szCs w:val="28"/>
        </w:rPr>
        <w:t xml:space="preserve"> the erosive wear rate is highest in brittle materials and lowest in ductile materials. In ductile materials, the repeated impinging particles plastically deform the surface to generate wear debris. With brittle materials, the impingement causes particles of material to be fractured off as </w:t>
      </w:r>
      <w:r w:rsidRPr="003E71BE">
        <w:rPr>
          <w:rFonts w:ascii="Verdana" w:eastAsia="Times New Roman" w:hAnsi="Verdana" w:cs="Times New Roman"/>
          <w:color w:val="626262"/>
          <w:sz w:val="28"/>
          <w:szCs w:val="28"/>
        </w:rPr>
        <w:lastRenderedPageBreak/>
        <w:t>wear debris. Brittle materials are less wear resistant than ductile materials in an impact erosion condition. At low angles of impingement (</w:t>
      </w:r>
      <w:r w:rsidRPr="003E71BE">
        <w:rPr>
          <w:rFonts w:ascii="Verdana" w:eastAsia="Times New Roman" w:hAnsi="Verdana" w:cs="Times New Roman"/>
          <w:i/>
          <w:iCs/>
          <w:color w:val="626262"/>
          <w:sz w:val="28"/>
          <w:u w:val="single"/>
        </w:rPr>
        <w:t>abrasive erosion</w:t>
      </w:r>
      <w:r w:rsidRPr="003E71BE">
        <w:rPr>
          <w:rFonts w:ascii="Verdana" w:eastAsia="Times New Roman" w:hAnsi="Verdana" w:cs="Times New Roman"/>
          <w:color w:val="626262"/>
          <w:sz w:val="28"/>
          <w:szCs w:val="28"/>
        </w:rPr>
        <w:t xml:space="preserve">), the reverse is the case. Harder materials better resist the gouging or </w:t>
      </w:r>
      <w:proofErr w:type="spellStart"/>
      <w:r w:rsidRPr="003E71BE">
        <w:rPr>
          <w:rFonts w:ascii="Verdana" w:eastAsia="Times New Roman" w:hAnsi="Verdana" w:cs="Times New Roman"/>
          <w:color w:val="626262"/>
          <w:sz w:val="28"/>
          <w:szCs w:val="28"/>
        </w:rPr>
        <w:t>ploughing</w:t>
      </w:r>
      <w:proofErr w:type="spellEnd"/>
      <w:r w:rsidRPr="003E71BE">
        <w:rPr>
          <w:rFonts w:ascii="Verdana" w:eastAsia="Times New Roman" w:hAnsi="Verdana" w:cs="Times New Roman"/>
          <w:color w:val="626262"/>
          <w:sz w:val="28"/>
          <w:szCs w:val="28"/>
        </w:rPr>
        <w:t xml:space="preserve"> action of abrasive particle flow.</w:t>
      </w:r>
    </w:p>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r w:rsidRPr="003E71BE">
        <w:rPr>
          <w:rFonts w:ascii="Verdana" w:eastAsia="Times New Roman" w:hAnsi="Verdana" w:cs="Times New Roman"/>
          <w:color w:val="626262"/>
          <w:sz w:val="28"/>
          <w:szCs w:val="28"/>
        </w:rPr>
        <w:t>There is an approximate relationship between hardness and the ultimate strength of the material. The amount of abrasive wear decreases as the strength/hardness of the piping material increases. To resist abrasion, the piping system must be harder than the material being conveyed. The wear rates of various piping materials are often similar, so long as their hardness is greater than the slurry so selecting a pipe material considerably harder than the conveyed material offers no wear advantage and typically costs more. Conversely when the mineral is harder than the pipe, there is a very sudden and steep rise in the abrasive wear rate.</w:t>
      </w:r>
    </w:p>
    <w:p w:rsidR="003E71BE" w:rsidRPr="003E71BE" w:rsidRDefault="003E71BE" w:rsidP="003E71BE">
      <w:pPr>
        <w:shd w:val="clear" w:color="auto" w:fill="FFFFFF"/>
        <w:spacing w:before="212" w:after="212" w:line="384" w:lineRule="atLeast"/>
        <w:rPr>
          <w:rFonts w:ascii="Verdana" w:eastAsia="Times New Roman" w:hAnsi="Verdana" w:cs="Times New Roman"/>
          <w:color w:val="626262"/>
          <w:sz w:val="28"/>
          <w:szCs w:val="28"/>
        </w:rPr>
      </w:pPr>
      <w:r w:rsidRPr="003E71BE">
        <w:rPr>
          <w:rFonts w:ascii="Verdana" w:eastAsia="Times New Roman" w:hAnsi="Verdana" w:cs="Times New Roman"/>
          <w:color w:val="626262"/>
          <w:sz w:val="28"/>
          <w:szCs w:val="28"/>
        </w:rPr>
        <w:t>There are distinct types of wear experienced in a typical piping system. The straight sections most commonly experience abrasive erosion. Size transitions and directional changes experience both abrasive erosion and impact abrasion and should be designed with this in </w:t>
      </w:r>
    </w:p>
    <w:p w:rsidR="003E71BE" w:rsidRDefault="003E71BE"/>
    <w:tbl>
      <w:tblPr>
        <w:tblW w:w="14824" w:type="dxa"/>
        <w:jc w:val="center"/>
        <w:tblBorders>
          <w:top w:val="outset" w:sz="6" w:space="0" w:color="auto"/>
          <w:left w:val="outset" w:sz="6" w:space="0" w:color="auto"/>
          <w:bottom w:val="outset" w:sz="6" w:space="0" w:color="auto"/>
          <w:right w:val="outset" w:sz="6" w:space="0" w:color="auto"/>
        </w:tblBorders>
        <w:shd w:val="clear" w:color="auto" w:fill="FEFEFE"/>
        <w:tblCellMar>
          <w:top w:w="15" w:type="dxa"/>
          <w:left w:w="15" w:type="dxa"/>
          <w:bottom w:w="15" w:type="dxa"/>
          <w:right w:w="15" w:type="dxa"/>
        </w:tblCellMar>
        <w:tblLook w:val="04A0"/>
      </w:tblPr>
      <w:tblGrid>
        <w:gridCol w:w="5017"/>
        <w:gridCol w:w="2049"/>
        <w:gridCol w:w="3906"/>
        <w:gridCol w:w="1900"/>
        <w:gridCol w:w="1952"/>
      </w:tblGrid>
      <w:tr w:rsidR="000934D4" w:rsidRPr="000934D4" w:rsidTr="003E71BE">
        <w:trPr>
          <w:trHeight w:val="570"/>
          <w:tblHeader/>
          <w:jc w:val="center"/>
        </w:trPr>
        <w:tc>
          <w:tcPr>
            <w:tcW w:w="5017" w:type="dxa"/>
            <w:tcBorders>
              <w:top w:val="outset" w:sz="6" w:space="0" w:color="auto"/>
              <w:left w:val="outset" w:sz="6" w:space="0" w:color="auto"/>
              <w:bottom w:val="outset" w:sz="6" w:space="0" w:color="auto"/>
              <w:right w:val="outset" w:sz="6" w:space="0" w:color="auto"/>
            </w:tcBorders>
            <w:shd w:val="clear" w:color="auto" w:fill="008549"/>
            <w:vAlign w:val="center"/>
            <w:hideMark/>
          </w:tcPr>
          <w:p w:rsidR="000934D4" w:rsidRPr="000934D4" w:rsidRDefault="000934D4" w:rsidP="000934D4">
            <w:pPr>
              <w:spacing w:after="0" w:line="240" w:lineRule="auto"/>
              <w:rPr>
                <w:rFonts w:ascii="Helvetica" w:eastAsia="Times New Roman" w:hAnsi="Helvetica" w:cs="Helvetica"/>
                <w:b/>
                <w:bCs/>
                <w:color w:val="FEFEFE"/>
                <w:sz w:val="34"/>
                <w:szCs w:val="34"/>
              </w:rPr>
            </w:pPr>
            <w:r w:rsidRPr="000934D4">
              <w:rPr>
                <w:rFonts w:ascii="Helvetica" w:eastAsia="Times New Roman" w:hAnsi="Helvetica" w:cs="Helvetica"/>
                <w:b/>
                <w:bCs/>
                <w:color w:val="FEFEFE"/>
                <w:sz w:val="34"/>
                <w:szCs w:val="34"/>
              </w:rPr>
              <w:t>Property</w:t>
            </w:r>
          </w:p>
        </w:tc>
        <w:tc>
          <w:tcPr>
            <w:tcW w:w="2049" w:type="dxa"/>
            <w:tcBorders>
              <w:top w:val="outset" w:sz="6" w:space="0" w:color="auto"/>
              <w:left w:val="outset" w:sz="6" w:space="0" w:color="auto"/>
              <w:bottom w:val="outset" w:sz="6" w:space="0" w:color="auto"/>
              <w:right w:val="outset" w:sz="6" w:space="0" w:color="auto"/>
            </w:tcBorders>
            <w:shd w:val="clear" w:color="auto" w:fill="008549"/>
            <w:vAlign w:val="center"/>
            <w:hideMark/>
          </w:tcPr>
          <w:p w:rsidR="000934D4" w:rsidRPr="000934D4" w:rsidRDefault="000934D4" w:rsidP="000934D4">
            <w:pPr>
              <w:spacing w:after="0" w:line="240" w:lineRule="auto"/>
              <w:jc w:val="center"/>
              <w:rPr>
                <w:rFonts w:ascii="Helvetica" w:eastAsia="Times New Roman" w:hAnsi="Helvetica" w:cs="Helvetica"/>
                <w:b/>
                <w:bCs/>
                <w:color w:val="FEFEFE"/>
                <w:sz w:val="34"/>
                <w:szCs w:val="34"/>
              </w:rPr>
            </w:pPr>
            <w:r w:rsidRPr="000934D4">
              <w:rPr>
                <w:rFonts w:ascii="Helvetica" w:eastAsia="Times New Roman" w:hAnsi="Helvetica" w:cs="Helvetica"/>
                <w:b/>
                <w:bCs/>
                <w:color w:val="FEFEFE"/>
                <w:sz w:val="34"/>
                <w:szCs w:val="34"/>
              </w:rPr>
              <w:t>Units</w:t>
            </w:r>
          </w:p>
        </w:tc>
        <w:tc>
          <w:tcPr>
            <w:tcW w:w="3906" w:type="dxa"/>
            <w:tcBorders>
              <w:top w:val="outset" w:sz="6" w:space="0" w:color="auto"/>
              <w:left w:val="outset" w:sz="6" w:space="0" w:color="auto"/>
              <w:bottom w:val="outset" w:sz="6" w:space="0" w:color="auto"/>
              <w:right w:val="outset" w:sz="6" w:space="0" w:color="auto"/>
            </w:tcBorders>
            <w:shd w:val="clear" w:color="auto" w:fill="008549"/>
            <w:vAlign w:val="center"/>
            <w:hideMark/>
          </w:tcPr>
          <w:p w:rsidR="000934D4" w:rsidRPr="000934D4" w:rsidRDefault="000934D4" w:rsidP="000934D4">
            <w:pPr>
              <w:spacing w:after="0" w:line="240" w:lineRule="auto"/>
              <w:jc w:val="center"/>
              <w:rPr>
                <w:rFonts w:ascii="Helvetica" w:eastAsia="Times New Roman" w:hAnsi="Helvetica" w:cs="Helvetica"/>
                <w:b/>
                <w:bCs/>
                <w:color w:val="FEFEFE"/>
                <w:sz w:val="34"/>
                <w:szCs w:val="34"/>
              </w:rPr>
            </w:pPr>
            <w:r w:rsidRPr="000934D4">
              <w:rPr>
                <w:rFonts w:ascii="Helvetica" w:eastAsia="Times New Roman" w:hAnsi="Helvetica" w:cs="Helvetica"/>
                <w:b/>
                <w:bCs/>
                <w:color w:val="FEFEFE"/>
                <w:sz w:val="34"/>
                <w:szCs w:val="34"/>
              </w:rPr>
              <w:t>Test Method</w:t>
            </w:r>
          </w:p>
        </w:tc>
        <w:tc>
          <w:tcPr>
            <w:tcW w:w="1900" w:type="dxa"/>
            <w:tcBorders>
              <w:top w:val="outset" w:sz="6" w:space="0" w:color="auto"/>
              <w:left w:val="outset" w:sz="6" w:space="0" w:color="auto"/>
              <w:bottom w:val="outset" w:sz="6" w:space="0" w:color="auto"/>
              <w:right w:val="outset" w:sz="6" w:space="0" w:color="auto"/>
            </w:tcBorders>
            <w:shd w:val="clear" w:color="auto" w:fill="008549"/>
            <w:vAlign w:val="center"/>
            <w:hideMark/>
          </w:tcPr>
          <w:p w:rsidR="000934D4" w:rsidRPr="000934D4" w:rsidRDefault="000934D4" w:rsidP="000934D4">
            <w:pPr>
              <w:spacing w:after="0" w:line="240" w:lineRule="auto"/>
              <w:jc w:val="center"/>
              <w:rPr>
                <w:rFonts w:ascii="Helvetica" w:eastAsia="Times New Roman" w:hAnsi="Helvetica" w:cs="Helvetica"/>
                <w:b/>
                <w:bCs/>
                <w:color w:val="FEFEFE"/>
                <w:sz w:val="34"/>
                <w:szCs w:val="34"/>
              </w:rPr>
            </w:pPr>
            <w:r w:rsidRPr="000934D4">
              <w:rPr>
                <w:rFonts w:ascii="Helvetica" w:eastAsia="Times New Roman" w:hAnsi="Helvetica" w:cs="Helvetica"/>
                <w:b/>
                <w:bCs/>
                <w:color w:val="FEFEFE"/>
                <w:sz w:val="34"/>
                <w:szCs w:val="34"/>
              </w:rPr>
              <w:t>PE80B</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b/>
                <w:bCs/>
                <w:color w:val="FEFEFE"/>
                <w:sz w:val="34"/>
                <w:szCs w:val="34"/>
              </w:rPr>
            </w:pPr>
            <w:r w:rsidRPr="000934D4">
              <w:rPr>
                <w:rFonts w:ascii="Helvetica" w:eastAsia="Times New Roman" w:hAnsi="Helvetica" w:cs="Helvetica"/>
                <w:b/>
                <w:bCs/>
                <w:color w:val="FEFEFE"/>
                <w:sz w:val="34"/>
                <w:szCs w:val="34"/>
              </w:rPr>
              <w:t>PE</w:t>
            </w:r>
            <w:r w:rsidR="00825ACC">
              <w:rPr>
                <w:rFonts w:ascii="Helvetica" w:hAnsi="Helvetica" w:cs="Helvetica"/>
                <w:b/>
                <w:bCs/>
                <w:color w:val="FEFEFE"/>
                <w:sz w:val="30"/>
                <w:szCs w:val="30"/>
                <w:shd w:val="clear" w:color="auto" w:fill="008549"/>
              </w:rPr>
              <w:t>PE100</w:t>
            </w:r>
            <w:r w:rsidRPr="000934D4">
              <w:rPr>
                <w:rFonts w:ascii="Helvetica" w:eastAsia="Times New Roman" w:hAnsi="Helvetica" w:cs="Helvetica"/>
                <w:b/>
                <w:bCs/>
                <w:color w:val="FEFEFE"/>
                <w:sz w:val="34"/>
                <w:szCs w:val="34"/>
              </w:rPr>
              <w:t>100</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Density</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kg/m3</w:t>
            </w:r>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ISO 1183D, ISO 1872-2</w:t>
            </w: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950</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960</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lastRenderedPageBreak/>
              <w:t>Tensile Yield Strength</w:t>
            </w:r>
          </w:p>
        </w:tc>
        <w:tc>
          <w:tcPr>
            <w:tcW w:w="2049"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proofErr w:type="spellStart"/>
            <w:r w:rsidRPr="000934D4">
              <w:rPr>
                <w:rFonts w:ascii="Helvetica" w:eastAsia="Times New Roman" w:hAnsi="Helvetica" w:cs="Helvetica"/>
                <w:color w:val="0A0A0A"/>
                <w:sz w:val="34"/>
                <w:szCs w:val="34"/>
              </w:rPr>
              <w:t>MPa</w:t>
            </w:r>
            <w:proofErr w:type="spellEnd"/>
          </w:p>
        </w:tc>
        <w:tc>
          <w:tcPr>
            <w:tcW w:w="3906"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ISO 527</w:t>
            </w:r>
          </w:p>
        </w:tc>
        <w:tc>
          <w:tcPr>
            <w:tcW w:w="1900"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20</w:t>
            </w:r>
          </w:p>
        </w:tc>
        <w:tc>
          <w:tcPr>
            <w:tcW w:w="1952"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23</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Elongation at Yield</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w:t>
            </w:r>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ISO 527</w:t>
            </w: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10</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8</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Tensile Modulus  – short term</w:t>
            </w:r>
          </w:p>
        </w:tc>
        <w:tc>
          <w:tcPr>
            <w:tcW w:w="2049"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proofErr w:type="spellStart"/>
            <w:r w:rsidRPr="000934D4">
              <w:rPr>
                <w:rFonts w:ascii="Helvetica" w:eastAsia="Times New Roman" w:hAnsi="Helvetica" w:cs="Helvetica"/>
                <w:color w:val="0A0A0A"/>
                <w:sz w:val="34"/>
                <w:szCs w:val="34"/>
              </w:rPr>
              <w:t>MPa</w:t>
            </w:r>
            <w:proofErr w:type="spellEnd"/>
          </w:p>
        </w:tc>
        <w:tc>
          <w:tcPr>
            <w:tcW w:w="3906"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ref. AS/NZS2655.1</w:t>
            </w:r>
          </w:p>
        </w:tc>
        <w:tc>
          <w:tcPr>
            <w:tcW w:w="1900"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700</w:t>
            </w:r>
          </w:p>
        </w:tc>
        <w:tc>
          <w:tcPr>
            <w:tcW w:w="1952"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950</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Tensile Modulus – long term</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 </w:t>
            </w:r>
            <w:proofErr w:type="spellStart"/>
            <w:r w:rsidRPr="000934D4">
              <w:rPr>
                <w:rFonts w:ascii="Helvetica" w:eastAsia="Times New Roman" w:hAnsi="Helvetica" w:cs="Helvetica"/>
                <w:color w:val="0A0A0A"/>
                <w:sz w:val="34"/>
                <w:szCs w:val="34"/>
              </w:rPr>
              <w:t>MPa</w:t>
            </w:r>
            <w:proofErr w:type="spellEnd"/>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ref. AS/NZS2655.1</w:t>
            </w: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200</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260</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Hardness Shore D</w:t>
            </w:r>
          </w:p>
        </w:tc>
        <w:tc>
          <w:tcPr>
            <w:tcW w:w="2049"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240" w:lineRule="auto"/>
              <w:jc w:val="center"/>
              <w:rPr>
                <w:rFonts w:ascii="Helvetica" w:eastAsia="Times New Roman" w:hAnsi="Helvetica" w:cs="Helvetica"/>
                <w:color w:val="0A0A0A"/>
                <w:sz w:val="30"/>
                <w:szCs w:val="34"/>
              </w:rPr>
            </w:pPr>
          </w:p>
        </w:tc>
        <w:tc>
          <w:tcPr>
            <w:tcW w:w="3906"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DIN 53505</w:t>
            </w:r>
          </w:p>
        </w:tc>
        <w:tc>
          <w:tcPr>
            <w:tcW w:w="1900"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59</w:t>
            </w:r>
          </w:p>
        </w:tc>
        <w:tc>
          <w:tcPr>
            <w:tcW w:w="1952"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64</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Notched Impact Strength  (23°C)</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kJ/m2</w:t>
            </w:r>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ISO 179/1eA</w:t>
            </w: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35</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26</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Melt Flow Rate 190/5</w:t>
            </w:r>
          </w:p>
        </w:tc>
        <w:tc>
          <w:tcPr>
            <w:tcW w:w="2049"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g/10 min</w:t>
            </w:r>
          </w:p>
        </w:tc>
        <w:tc>
          <w:tcPr>
            <w:tcW w:w="3906"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ISO 1133</w:t>
            </w:r>
          </w:p>
        </w:tc>
        <w:tc>
          <w:tcPr>
            <w:tcW w:w="1900"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0.7-1.0</w:t>
            </w:r>
          </w:p>
        </w:tc>
        <w:tc>
          <w:tcPr>
            <w:tcW w:w="1952"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0.3-0.5</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Thermal Expansion</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 x 10-4/°C</w:t>
            </w:r>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color w:val="0A0A0A"/>
                <w:sz w:val="30"/>
                <w:szCs w:val="34"/>
              </w:rPr>
            </w:pP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2.4</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2.4</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Thermal Conductivity  (20°C)</w:t>
            </w:r>
          </w:p>
        </w:tc>
        <w:tc>
          <w:tcPr>
            <w:tcW w:w="2049"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W/</w:t>
            </w:r>
            <w:proofErr w:type="spellStart"/>
            <w:r w:rsidRPr="000934D4">
              <w:rPr>
                <w:rFonts w:ascii="Helvetica" w:eastAsia="Times New Roman" w:hAnsi="Helvetica" w:cs="Helvetica"/>
                <w:color w:val="0A0A0A"/>
                <w:sz w:val="34"/>
                <w:szCs w:val="34"/>
              </w:rPr>
              <w:t>m.k</w:t>
            </w:r>
            <w:proofErr w:type="spellEnd"/>
          </w:p>
        </w:tc>
        <w:tc>
          <w:tcPr>
            <w:tcW w:w="3906"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DIN 52612</w:t>
            </w:r>
          </w:p>
        </w:tc>
        <w:tc>
          <w:tcPr>
            <w:tcW w:w="1900"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0.43</w:t>
            </w:r>
          </w:p>
        </w:tc>
        <w:tc>
          <w:tcPr>
            <w:tcW w:w="1952"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0.4</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Crystalline Melting Point</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°C</w:t>
            </w:r>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color w:val="0A0A0A"/>
                <w:sz w:val="30"/>
                <w:szCs w:val="34"/>
              </w:rPr>
            </w:pP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125</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132</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Dielectric Strength</w:t>
            </w:r>
          </w:p>
        </w:tc>
        <w:tc>
          <w:tcPr>
            <w:tcW w:w="2049"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kV/mm</w:t>
            </w:r>
          </w:p>
        </w:tc>
        <w:tc>
          <w:tcPr>
            <w:tcW w:w="3906"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240" w:lineRule="auto"/>
              <w:jc w:val="center"/>
              <w:rPr>
                <w:rFonts w:ascii="Helvetica" w:eastAsia="Times New Roman" w:hAnsi="Helvetica" w:cs="Helvetica"/>
                <w:color w:val="0A0A0A"/>
                <w:sz w:val="30"/>
                <w:szCs w:val="34"/>
              </w:rPr>
            </w:pPr>
          </w:p>
        </w:tc>
        <w:tc>
          <w:tcPr>
            <w:tcW w:w="1900"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70</w:t>
            </w:r>
          </w:p>
        </w:tc>
        <w:tc>
          <w:tcPr>
            <w:tcW w:w="1952"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53</w:t>
            </w:r>
          </w:p>
        </w:tc>
      </w:tr>
      <w:tr w:rsidR="000934D4" w:rsidRPr="000934D4" w:rsidTr="003E71BE">
        <w:trPr>
          <w:trHeight w:val="33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Surface Resistivity</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Ohm</w:t>
            </w:r>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&gt;10</w:t>
            </w:r>
            <w:r w:rsidRPr="000934D4">
              <w:rPr>
                <w:rFonts w:ascii="Helvetica" w:eastAsia="Times New Roman" w:hAnsi="Helvetica" w:cs="Helvetica"/>
                <w:color w:val="0A0A0A"/>
                <w:vertAlign w:val="superscript"/>
              </w:rPr>
              <w:t>15 </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&gt;10</w:t>
            </w:r>
            <w:r w:rsidRPr="000934D4">
              <w:rPr>
                <w:rFonts w:ascii="Helvetica" w:eastAsia="Times New Roman" w:hAnsi="Helvetica" w:cs="Helvetica"/>
                <w:color w:val="0A0A0A"/>
                <w:vertAlign w:val="superscript"/>
              </w:rPr>
              <w:t>15 </w:t>
            </w:r>
          </w:p>
        </w:tc>
      </w:tr>
      <w:tr w:rsidR="000934D4" w:rsidRPr="000934D4" w:rsidTr="003E71BE">
        <w:trPr>
          <w:trHeight w:val="330"/>
          <w:jc w:val="center"/>
        </w:trPr>
        <w:tc>
          <w:tcPr>
            <w:tcW w:w="5017"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240" w:lineRule="auto"/>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Volume Resistivity</w:t>
            </w:r>
          </w:p>
        </w:tc>
        <w:tc>
          <w:tcPr>
            <w:tcW w:w="2049"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Ohm.cm</w:t>
            </w:r>
          </w:p>
        </w:tc>
        <w:tc>
          <w:tcPr>
            <w:tcW w:w="3906"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p>
        </w:tc>
        <w:tc>
          <w:tcPr>
            <w:tcW w:w="1900"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&gt;10</w:t>
            </w:r>
            <w:r w:rsidRPr="000934D4">
              <w:rPr>
                <w:rFonts w:ascii="Helvetica" w:eastAsia="Times New Roman" w:hAnsi="Helvetica" w:cs="Helvetica"/>
                <w:color w:val="0A0A0A"/>
                <w:vertAlign w:val="superscript"/>
              </w:rPr>
              <w:t>15 </w:t>
            </w:r>
          </w:p>
        </w:tc>
        <w:tc>
          <w:tcPr>
            <w:tcW w:w="1952" w:type="dxa"/>
            <w:tcBorders>
              <w:top w:val="outset" w:sz="6" w:space="0" w:color="auto"/>
              <w:left w:val="outset" w:sz="6" w:space="0" w:color="auto"/>
              <w:bottom w:val="outset" w:sz="6" w:space="0" w:color="auto"/>
              <w:right w:val="outset" w:sz="6" w:space="0" w:color="auto"/>
            </w:tcBorders>
            <w:shd w:val="clear" w:color="auto" w:fill="F0F1F2"/>
            <w:vAlign w:val="center"/>
            <w:hideMark/>
          </w:tcPr>
          <w:p w:rsidR="000934D4" w:rsidRPr="000934D4" w:rsidRDefault="000934D4" w:rsidP="000934D4">
            <w:pPr>
              <w:spacing w:after="0" w:line="240" w:lineRule="auto"/>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&gt;10</w:t>
            </w:r>
            <w:r w:rsidRPr="000934D4">
              <w:rPr>
                <w:rFonts w:ascii="Helvetica" w:eastAsia="Times New Roman" w:hAnsi="Helvetica" w:cs="Helvetica"/>
                <w:color w:val="0A0A0A"/>
                <w:vertAlign w:val="superscript"/>
              </w:rPr>
              <w:t>15 </w:t>
            </w:r>
          </w:p>
        </w:tc>
      </w:tr>
      <w:tr w:rsidR="000934D4" w:rsidRPr="000934D4" w:rsidTr="003E71BE">
        <w:trPr>
          <w:trHeight w:val="300"/>
          <w:jc w:val="center"/>
        </w:trPr>
        <w:tc>
          <w:tcPr>
            <w:tcW w:w="5017"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rPr>
                <w:rFonts w:ascii="Helvetica" w:eastAsia="Times New Roman" w:hAnsi="Helvetica" w:cs="Helvetica"/>
                <w:color w:val="0A0A0A"/>
                <w:sz w:val="34"/>
                <w:szCs w:val="34"/>
              </w:rPr>
            </w:pPr>
            <w:proofErr w:type="spellStart"/>
            <w:r w:rsidRPr="000934D4">
              <w:rPr>
                <w:rFonts w:ascii="Helvetica" w:eastAsia="Times New Roman" w:hAnsi="Helvetica" w:cs="Helvetica"/>
                <w:color w:val="0A0A0A"/>
                <w:sz w:val="34"/>
                <w:szCs w:val="34"/>
              </w:rPr>
              <w:t>Poissons</w:t>
            </w:r>
            <w:proofErr w:type="spellEnd"/>
            <w:r w:rsidRPr="000934D4">
              <w:rPr>
                <w:rFonts w:ascii="Helvetica" w:eastAsia="Times New Roman" w:hAnsi="Helvetica" w:cs="Helvetica"/>
                <w:color w:val="0A0A0A"/>
                <w:sz w:val="34"/>
                <w:szCs w:val="34"/>
              </w:rPr>
              <w:t xml:space="preserve"> Ratio</w:t>
            </w:r>
          </w:p>
        </w:tc>
        <w:tc>
          <w:tcPr>
            <w:tcW w:w="2049"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μ</w:t>
            </w:r>
          </w:p>
        </w:tc>
        <w:tc>
          <w:tcPr>
            <w:tcW w:w="3906"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240" w:lineRule="auto"/>
              <w:jc w:val="center"/>
              <w:rPr>
                <w:rFonts w:ascii="Helvetica" w:eastAsia="Times New Roman" w:hAnsi="Helvetica" w:cs="Helvetica"/>
                <w:color w:val="0A0A0A"/>
                <w:sz w:val="30"/>
                <w:szCs w:val="34"/>
              </w:rPr>
            </w:pPr>
          </w:p>
        </w:tc>
        <w:tc>
          <w:tcPr>
            <w:tcW w:w="1900"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0.4</w:t>
            </w:r>
          </w:p>
        </w:tc>
        <w:tc>
          <w:tcPr>
            <w:tcW w:w="1952" w:type="dxa"/>
            <w:tcBorders>
              <w:top w:val="outset" w:sz="6" w:space="0" w:color="auto"/>
              <w:left w:val="outset" w:sz="6" w:space="0" w:color="auto"/>
              <w:bottom w:val="outset" w:sz="6" w:space="0" w:color="auto"/>
              <w:right w:val="outset" w:sz="6" w:space="0" w:color="auto"/>
            </w:tcBorders>
            <w:shd w:val="clear" w:color="auto" w:fill="FEFEFE"/>
            <w:vAlign w:val="center"/>
            <w:hideMark/>
          </w:tcPr>
          <w:p w:rsidR="000934D4" w:rsidRPr="000934D4" w:rsidRDefault="000934D4" w:rsidP="000934D4">
            <w:pPr>
              <w:spacing w:after="0" w:line="300" w:lineRule="atLeast"/>
              <w:jc w:val="center"/>
              <w:rPr>
                <w:rFonts w:ascii="Helvetica" w:eastAsia="Times New Roman" w:hAnsi="Helvetica" w:cs="Helvetica"/>
                <w:color w:val="0A0A0A"/>
                <w:sz w:val="34"/>
                <w:szCs w:val="34"/>
              </w:rPr>
            </w:pPr>
            <w:r w:rsidRPr="000934D4">
              <w:rPr>
                <w:rFonts w:ascii="Helvetica" w:eastAsia="Times New Roman" w:hAnsi="Helvetica" w:cs="Helvetica"/>
                <w:color w:val="0A0A0A"/>
                <w:sz w:val="34"/>
                <w:szCs w:val="34"/>
              </w:rPr>
              <w:t>0.4</w:t>
            </w:r>
          </w:p>
        </w:tc>
      </w:tr>
    </w:tbl>
    <w:p w:rsidR="004A6C9B" w:rsidRDefault="004A6C9B"/>
    <w:sectPr w:rsidR="004A6C9B" w:rsidSect="000934D4">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D7735"/>
    <w:multiLevelType w:val="multilevel"/>
    <w:tmpl w:val="0C2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3059F2"/>
    <w:multiLevelType w:val="multilevel"/>
    <w:tmpl w:val="BB4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drawingGridHorizontalSpacing w:val="110"/>
  <w:displayHorizontalDrawingGridEvery w:val="2"/>
  <w:characterSpacingControl w:val="doNotCompress"/>
  <w:compat/>
  <w:rsids>
    <w:rsidRoot w:val="000934D4"/>
    <w:rsid w:val="000934D4"/>
    <w:rsid w:val="00344994"/>
    <w:rsid w:val="003E71BE"/>
    <w:rsid w:val="004A6C9B"/>
    <w:rsid w:val="00825AC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C9B"/>
  </w:style>
  <w:style w:type="paragraph" w:styleId="Heading2">
    <w:name w:val="heading 2"/>
    <w:basedOn w:val="Normal"/>
    <w:link w:val="Heading2Char"/>
    <w:uiPriority w:val="9"/>
    <w:qFormat/>
    <w:rsid w:val="003E7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1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1BE"/>
    <w:rPr>
      <w:b/>
      <w:bCs/>
    </w:rPr>
  </w:style>
  <w:style w:type="character" w:styleId="Hyperlink">
    <w:name w:val="Hyperlink"/>
    <w:basedOn w:val="DefaultParagraphFont"/>
    <w:uiPriority w:val="99"/>
    <w:semiHidden/>
    <w:unhideWhenUsed/>
    <w:rsid w:val="003E71BE"/>
    <w:rPr>
      <w:color w:val="0000FF"/>
      <w:u w:val="single"/>
    </w:rPr>
  </w:style>
  <w:style w:type="character" w:styleId="Emphasis">
    <w:name w:val="Emphasis"/>
    <w:basedOn w:val="DefaultParagraphFont"/>
    <w:uiPriority w:val="20"/>
    <w:qFormat/>
    <w:rsid w:val="003E71BE"/>
    <w:rPr>
      <w:i/>
      <w:iCs/>
    </w:rPr>
  </w:style>
  <w:style w:type="paragraph" w:styleId="BalloonText">
    <w:name w:val="Balloon Text"/>
    <w:basedOn w:val="Normal"/>
    <w:link w:val="BalloonTextChar"/>
    <w:uiPriority w:val="99"/>
    <w:semiHidden/>
    <w:unhideWhenUsed/>
    <w:rsid w:val="003E7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1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50559">
      <w:bodyDiv w:val="1"/>
      <w:marLeft w:val="0"/>
      <w:marRight w:val="0"/>
      <w:marTop w:val="0"/>
      <w:marBottom w:val="0"/>
      <w:divBdr>
        <w:top w:val="none" w:sz="0" w:space="0" w:color="auto"/>
        <w:left w:val="none" w:sz="0" w:space="0" w:color="auto"/>
        <w:bottom w:val="none" w:sz="0" w:space="0" w:color="auto"/>
        <w:right w:val="none" w:sz="0" w:space="0" w:color="auto"/>
      </w:divBdr>
    </w:div>
    <w:div w:id="617563858">
      <w:bodyDiv w:val="1"/>
      <w:marLeft w:val="0"/>
      <w:marRight w:val="0"/>
      <w:marTop w:val="0"/>
      <w:marBottom w:val="0"/>
      <w:divBdr>
        <w:top w:val="none" w:sz="0" w:space="0" w:color="auto"/>
        <w:left w:val="none" w:sz="0" w:space="0" w:color="auto"/>
        <w:bottom w:val="none" w:sz="0" w:space="0" w:color="auto"/>
        <w:right w:val="none" w:sz="0" w:space="0" w:color="auto"/>
      </w:divBdr>
    </w:div>
    <w:div w:id="938492929">
      <w:bodyDiv w:val="1"/>
      <w:marLeft w:val="0"/>
      <w:marRight w:val="0"/>
      <w:marTop w:val="0"/>
      <w:marBottom w:val="0"/>
      <w:divBdr>
        <w:top w:val="none" w:sz="0" w:space="0" w:color="auto"/>
        <w:left w:val="none" w:sz="0" w:space="0" w:color="auto"/>
        <w:bottom w:val="none" w:sz="0" w:space="0" w:color="auto"/>
        <w:right w:val="none" w:sz="0" w:space="0" w:color="auto"/>
      </w:divBdr>
    </w:div>
    <w:div w:id="14019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e100plus.com/PE-Pipes/Technical-guidance/Trenchless/Methods/PE-Pipe-i134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2021-06-07T09:16:00Z</dcterms:created>
  <dcterms:modified xsi:type="dcterms:W3CDTF">2021-06-07T09:27:00Z</dcterms:modified>
</cp:coreProperties>
</file>