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Dossier juridique — logiciel Fluxya</w:t>
      </w:r>
    </w:p>
    <w:p>
      <w:pPr>
        <w:shd w:fill="FFF7E0" w:color="auto" w:val="clear"/>
        <w:ind w:left="360"/>
      </w:pPr>
      <w:r>
        <w:rPr>
          <w:i/>
          <w:iCs/>
        </w:rPr>
        <w:t xml:space="preserve">Préparé le 9 octobre 2026 par Jean-François Latour. Tous les documents joints sont des brouillons rédigés à l'interne, à réviser avant toute signature ou publication.</w:t>
      </w:r>
    </w:p>
    <w:p>
      <w:pPr>
        <w:pStyle w:val="Heading2"/>
      </w:pPr>
      <w:r>
        <w:t xml:space="preserve">Contexte</w:t>
      </w:r>
    </w:p>
    <w:p>
      <w:pPr>
        <w:spacing w:after="140"/>
      </w:pPr>
      <w:r>
        <w:t xml:space="preserve">Fluxya est un logiciel en ligne de gestion (devis, agenda, application mobile des techniciens, heures, facturation) développé par Ventilation DGL inc. pour ses propres besoins, et que nous voulons maintenant vendre par abonnement mensuel à d'autres entreprises de services au Québec. Une nouvelle compagnie sera incorporée pour exploiter le logiciel ; elle n'existe pas encore.</w:t>
      </w:r>
    </w:p>
    <w:p>
      <w:pPr>
        <w:pStyle w:val="Heading2"/>
      </w:pPr>
      <w:r>
        <w:t xml:space="preserve">Documents joints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0CC" w:sz="4"/>
              <w:left w:val="single" w:color="B8C0CC" w:sz="4"/>
              <w:bottom w:val="single" w:color="B8C0CC" w:sz="4"/>
              <w:right w:val="single" w:color="B8C0CC" w:sz="4"/>
            </w:tcBorders>
            <w:shd w:fill="E8EDF3" w:color="auto" w:val="clear"/>
            <w:tcMar>
              <w:top w:type="dxa" w:w="60"/>
              <w:left w:type="dxa" w:w="90"/>
              <w:bottom w:type="dxa" w:w="60"/>
              <w:right w:type="dxa" w:w="90"/>
            </w:tcMar>
          </w:tcPr>
          <w:p>
            <w:r>
              <w:rPr>
                <w:b/>
                <w:bCs/>
                <w:sz w:val="18"/>
                <w:szCs w:val="18"/>
              </w:rPr>
              <w:t xml:space="preserve">N°</w:t>
            </w:r>
          </w:p>
        </w:tc>
        <w:tc>
          <w:tcPr>
            <w:tcW w:type="dxa" w:w="2340"/>
            <w:tcBorders>
              <w:top w:val="single" w:color="B8C0CC" w:sz="4"/>
              <w:left w:val="single" w:color="B8C0CC" w:sz="4"/>
              <w:bottom w:val="single" w:color="B8C0CC" w:sz="4"/>
              <w:right w:val="single" w:color="B8C0CC" w:sz="4"/>
            </w:tcBorders>
            <w:shd w:fill="E8EDF3" w:color="auto" w:val="clear"/>
            <w:tcMar>
              <w:top w:type="dxa" w:w="60"/>
              <w:left w:type="dxa" w:w="90"/>
              <w:bottom w:type="dxa" w:w="60"/>
              <w:right w:type="dxa" w:w="90"/>
            </w:tcMar>
          </w:tcPr>
          <w:p>
            <w:r>
              <w:rPr>
                <w:b/>
                <w:bCs/>
                <w:sz w:val="18"/>
                <w:szCs w:val="18"/>
              </w:rPr>
              <w:t xml:space="preserve">Document</w:t>
            </w:r>
          </w:p>
        </w:tc>
        <w:tc>
          <w:tcPr>
            <w:tcW w:type="dxa" w:w="2340"/>
            <w:tcBorders>
              <w:top w:val="single" w:color="B8C0CC" w:sz="4"/>
              <w:left w:val="single" w:color="B8C0CC" w:sz="4"/>
              <w:bottom w:val="single" w:color="B8C0CC" w:sz="4"/>
              <w:right w:val="single" w:color="B8C0CC" w:sz="4"/>
            </w:tcBorders>
            <w:shd w:fill="E8EDF3" w:color="auto" w:val="clear"/>
            <w:tcMar>
              <w:top w:type="dxa" w:w="60"/>
              <w:left w:type="dxa" w:w="90"/>
              <w:bottom w:type="dxa" w:w="60"/>
              <w:right w:type="dxa" w:w="90"/>
            </w:tcMar>
          </w:tcPr>
          <w:p>
            <w:r>
              <w:rPr>
                <w:b/>
                <w:bCs/>
                <w:sz w:val="18"/>
                <w:szCs w:val="18"/>
              </w:rPr>
              <w:t xml:space="preserve">Ce que c'est</w:t>
            </w:r>
          </w:p>
        </w:tc>
        <w:tc>
          <w:tcPr>
            <w:tcW w:type="dxa" w:w="2340"/>
            <w:tcBorders>
              <w:top w:val="single" w:color="B8C0CC" w:sz="4"/>
              <w:left w:val="single" w:color="B8C0CC" w:sz="4"/>
              <w:bottom w:val="single" w:color="B8C0CC" w:sz="4"/>
              <w:right w:val="single" w:color="B8C0CC" w:sz="4"/>
            </w:tcBorders>
            <w:shd w:fill="E8EDF3" w:color="auto" w:val="clear"/>
            <w:tcMar>
              <w:top w:type="dxa" w:w="60"/>
              <w:left w:type="dxa" w:w="90"/>
              <w:bottom w:type="dxa" w:w="60"/>
              <w:right w:type="dxa" w:w="90"/>
            </w:tcMar>
          </w:tcPr>
          <w:p>
            <w:r>
              <w:rPr>
                <w:b/>
                <w:bCs/>
                <w:sz w:val="18"/>
                <w:szCs w:val="18"/>
              </w:rPr>
              <w:t xml:space="preserve">Où il est utilisé</w:t>
            </w:r>
          </w:p>
        </w:tc>
      </w:tr>
      <w:tr>
        <w:trPr>
          <w:tblHeader w:val="off"/>
        </w:trPr>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01</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EFVP Fluxya (Loi 25)</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Évaluation des facteurs relatifs à la vie privée pour l'hébergement et les fournisseurs</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Dossier interne (art. 17 de la loi)</w:t>
            </w:r>
          </w:p>
        </w:tc>
      </w:tr>
      <w:tr>
        <w:trPr>
          <w:tblHeader w:val="off"/>
        </w:trPr>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02</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Conditions d'abonnement</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Contrat du logiciel : prix, renouvellement automatique, annulation, responsabilité</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Site de vente (pas encore en ligne)</w:t>
            </w:r>
          </w:p>
        </w:tc>
      </w:tr>
      <w:tr>
        <w:trPr>
          <w:tblHeader w:val="off"/>
        </w:trPr>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03</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Politique de confidentialité</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Politique Loi 25 publiée</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fluxya.app/confidentialite</w:t>
            </w:r>
          </w:p>
        </w:tc>
      </w:tr>
      <w:tr>
        <w:trPr>
          <w:tblHeader w:val="off"/>
        </w:trPr>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04</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Entente client pionnier</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Contrat des 3 premières entreprises : 1 an gratuit, 25 % de rabais à vie</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Signée hors ligne</w:t>
            </w:r>
          </w:p>
        </w:tc>
      </w:tr>
      <w:tr>
        <w:trPr>
          <w:tblHeader w:val="off"/>
        </w:trPr>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05</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Annexe protection des données</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Annexe Loi 25 de l'entente pionnier</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Signée avec l'entente 04</w:t>
            </w:r>
          </w:p>
        </w:tc>
      </w:tr>
      <w:tr>
        <w:trPr>
          <w:tblHeader w:val="off"/>
        </w:trPr>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06</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Entente acceptée dans l'application</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Texte accepté par case à cocher à la première connexion (versions pionnier et régulière)</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Dans l'application</w:t>
            </w:r>
          </w:p>
        </w:tc>
      </w:tr>
      <w:tr>
        <w:trPr>
          <w:tblHeader w:val="off"/>
        </w:trPr>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07</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Termes et conditions des travaux</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Conditions de Ventilation DGL envoyées à ses propres clients (dépôts, devis)</w:t>
            </w:r>
          </w:p>
        </w:tc>
        <w:tc>
          <w:tcPr>
            <w:tcW w:type="dxa" w:w="2340"/>
            <w:tcBorders>
              <w:top w:val="single" w:color="B8C0CC" w:sz="4"/>
              <w:left w:val="single" w:color="B8C0CC" w:sz="4"/>
              <w:bottom w:val="single" w:color="B8C0CC" w:sz="4"/>
              <w:right w:val="single" w:color="B8C0CC" w:sz="4"/>
            </w:tcBorders>
            <w:tcMar>
              <w:top w:type="dxa" w:w="60"/>
              <w:left w:type="dxa" w:w="90"/>
              <w:bottom w:type="dxa" w:w="60"/>
              <w:right w:type="dxa" w:w="90"/>
            </w:tcMar>
          </w:tcPr>
          <w:p>
            <w:r>
              <w:rPr>
                <w:sz w:val="18"/>
                <w:szCs w:val="18"/>
              </w:rPr>
              <w:t xml:space="preserve">Facultatif : concerne l'entreprise de ventilation, pas le logiciel</w:t>
            </w:r>
          </w:p>
        </w:tc>
      </w:tr>
    </w:tbl>
    <w:p/>
    <w:p>
      <w:pPr>
        <w:pStyle w:val="Heading2"/>
      </w:pPr>
      <w:r>
        <w:t xml:space="preserve">Questions pour vous</w:t>
      </w:r>
    </w:p>
    <w:p>
      <w:pPr>
        <w:spacing w:after="100"/>
        <w:ind w:left="360" w:hanging="360"/>
      </w:pPr>
      <w:r>
        <w:t xml:space="preserve">1. </w:t>
      </w:r>
      <w:r>
        <w:rPr>
          <w:b/>
          <w:bCs/>
        </w:rPr>
        <w:t xml:space="preserve">Nouvelle compagnie :</w:t>
      </w:r>
      <w:r>
        <w:t xml:space="preserve"> tous les textes nomment Ventilation DGL inc. comme exploitant. Comment faire la transition proprement vers la nouvelle compagnie (contrats déjà signés avec les pionniers, licence du logiciel entre les deux compagnies) ?</w:t>
      </w:r>
    </w:p>
    <w:p>
      <w:pPr>
        <w:spacing w:after="100"/>
        <w:ind w:left="360" w:hanging="360"/>
      </w:pPr>
      <w:r>
        <w:t xml:space="preserve">2. </w:t>
      </w:r>
      <w:r>
        <w:rPr>
          <w:b/>
          <w:bCs/>
        </w:rPr>
        <w:t xml:space="preserve">Rôle face aux entreprises clientes :</w:t>
      </w:r>
      <w:r>
        <w:t xml:space="preserve"> pour les renseignements de leurs employés et de leurs clients, Fluxya agit comme fournisseur de services (sous-traitant). Faut-il une entente de traitement des données avec CHAQUE entreprise cliente, et pas seulement l'annexe des pionniers (05) ?</w:t>
      </w:r>
    </w:p>
    <w:p>
      <w:pPr>
        <w:spacing w:after="100"/>
        <w:ind w:left="360" w:hanging="360"/>
      </w:pPr>
      <w:r>
        <w:t xml:space="preserve">3. </w:t>
      </w:r>
      <w:r>
        <w:rPr>
          <w:b/>
          <w:bCs/>
        </w:rPr>
        <w:t xml:space="preserve">EFVP (01) :</w:t>
      </w:r>
      <w:r>
        <w:t xml:space="preserve"> est-elle suffisante pour les communications vers les États-Unis (Vercel, Resend, QuickBooks) ? Quelles ententes de traitement devons-nous signer avec nos fournisseurs ?</w:t>
      </w:r>
    </w:p>
    <w:p>
      <w:pPr>
        <w:spacing w:after="100"/>
        <w:ind w:left="360" w:hanging="360"/>
      </w:pPr>
      <w:r>
        <w:t xml:space="preserve">4. </w:t>
      </w:r>
      <w:r>
        <w:rPr>
          <w:b/>
          <w:bCs/>
        </w:rPr>
        <w:t xml:space="preserve">Géolocalisation des techniciens :</w:t>
      </w:r>
      <w:r>
        <w:t xml:space="preserve"> l'application note la position GPS au départ et à l'arrivée d'un trajet. Quelles obligations d'information ou de consentement envers les employés, et qui les porte (nous ou l'entreprise cliente) ?</w:t>
      </w:r>
    </w:p>
    <w:p>
      <w:pPr>
        <w:spacing w:after="100"/>
        <w:ind w:left="360" w:hanging="360"/>
      </w:pPr>
      <w:r>
        <w:t xml:space="preserve">5. </w:t>
      </w:r>
      <w:r>
        <w:rPr>
          <w:b/>
          <w:bCs/>
        </w:rPr>
        <w:t xml:space="preserve">Conditions d'abonnement (02) :</w:t>
      </w:r>
      <w:r>
        <w:t xml:space="preserve"> le renouvellement automatique, l'absence de remboursement au prorata et la limite de responsabilité aux 12 derniers mois de paiements sont-ils valides entre entreprises ? Que faut-il ajouter (suspension pour non-paiement, résiliation par nous, propriété intellectuelle, sous-traitants) ?</w:t>
      </w:r>
    </w:p>
    <w:p>
      <w:pPr>
        <w:spacing w:after="100"/>
        <w:ind w:left="360" w:hanging="360"/>
      </w:pPr>
      <w:r>
        <w:t xml:space="preserve">6. </w:t>
      </w:r>
      <w:r>
        <w:rPr>
          <w:b/>
          <w:bCs/>
        </w:rPr>
        <w:t xml:space="preserve">Politique de confidentialité (03) :</w:t>
      </w:r>
      <w:r>
        <w:t xml:space="preserve"> que faut-il mettre à jour (nom des fournisseurs, lieux d'hébergement, coordonnées du responsable, durées de conservation) ?</w:t>
      </w:r>
    </w:p>
    <w:p>
      <w:pPr>
        <w:spacing w:after="100"/>
        <w:ind w:left="360" w:hanging="360"/>
      </w:pPr>
      <w:r>
        <w:t xml:space="preserve">7. </w:t>
      </w:r>
      <w:r>
        <w:rPr>
          <w:b/>
          <w:bCs/>
        </w:rPr>
        <w:t xml:space="preserve">Entente pionnier (04) et entente dans l'application (06) :</w:t>
      </w:r>
      <w:r>
        <w:t xml:space="preserve"> les deux textes doivent dire la même chose ; lequel fait foi ? L'acceptation par case à cocher, avec date et version conservées, est-elle une preuve suffisante ?</w:t>
      </w:r>
    </w:p>
    <w:p>
      <w:pPr>
        <w:spacing w:after="100"/>
        <w:ind w:left="360" w:hanging="360"/>
      </w:pPr>
      <w:r>
        <w:t xml:space="preserve">8. </w:t>
      </w:r>
      <w:r>
        <w:rPr>
          <w:b/>
          <w:bCs/>
        </w:rPr>
        <w:t xml:space="preserve">Langue :</w:t>
      </w:r>
      <w:r>
        <w:t xml:space="preserve"> l'application, les contrats et les courriels sont en français par défaut, avec une version anglaise pour certains clients. Est-ce conforme à la Charte de la langue française ?</w:t>
      </w:r>
    </w:p>
    <w:p>
      <w:pPr>
        <w:spacing w:after="100"/>
        <w:ind w:left="360" w:hanging="360"/>
      </w:pPr>
      <w:r>
        <w:t xml:space="preserve">9. </w:t>
      </w:r>
      <w:r>
        <w:rPr>
          <w:b/>
          <w:bCs/>
        </w:rPr>
        <w:t xml:space="preserve">Marque :</w:t>
      </w:r>
      <w:r>
        <w:t xml:space="preserve"> faut-il enregistrer la marque Fluxya, et au nom de quelle compagnie ?</w:t>
      </w:r>
    </w:p>
    <w:p>
      <w:pPr>
        <w:spacing w:after="100"/>
        <w:ind w:left="360" w:hanging="360"/>
      </w:pPr>
      <w:r>
        <w:t xml:space="preserve">10. </w:t>
      </w:r>
      <w:r>
        <w:rPr>
          <w:b/>
          <w:bCs/>
        </w:rPr>
        <w:t xml:space="preserve">Assurance :</w:t>
      </w:r>
      <w:r>
        <w:t xml:space="preserve"> quelle couverture recommandez-vous (responsabilité professionnelle, cyberrisques) avant les premiers clients payants ?</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A LIRE - Liste et questions pour l'avocate · page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b/>
      <w:bCs/>
      <w:color w:val="131B2E"/>
      <w:sz w:val="32"/>
      <w:szCs w:val="32"/>
    </w:rPr>
  </w:style>
  <w:style w:type="paragraph" w:styleId="Heading2">
    <w:name w:val="Heading 2"/>
    <w:basedOn w:val="Normal"/>
    <w:next w:val="Normal"/>
    <w:qFormat/>
    <w:pPr>
      <w:spacing w:after="120" w:before="240"/>
      <w:outlineLvl w:val="1"/>
    </w:pPr>
    <w:rPr>
      <w:b/>
      <w:bCs/>
      <w:color w:val="131B2E"/>
      <w:sz w:val="26"/>
      <w:szCs w:val="26"/>
    </w:rPr>
  </w:style>
  <w:style w:type="paragraph" w:styleId="Heading3">
    <w:name w:val="Heading 3"/>
    <w:basedOn w:val="Normal"/>
    <w:next w:val="Normal"/>
    <w:qFormat/>
    <w:pPr>
      <w:spacing w:after="80" w:before="16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2026-10-09T20:47:01.378Z</dcterms:created>
  <dcterms:modified xsi:type="dcterms:W3CDTF">2026-10-09T20:47:01.380Z</dcterms:modified>
</cp:coreProperties>
</file>

<file path=docProps/custom.xml><?xml version="1.0" encoding="utf-8"?>
<Properties xmlns="http://schemas.openxmlformats.org/officeDocument/2006/custom-properties" xmlns:vt="http://schemas.openxmlformats.org/officeDocument/2006/docPropsVTypes"/>
</file>