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Politique de confidentialité</w:t>
      </w:r>
    </w:p>
    <w:p>
      <w:pPr>
        <w:shd w:fill="FFF7E0" w:color="auto" w:val="clear"/>
        <w:ind w:left="360"/>
      </w:pPr>
      <w:r>
        <w:rPr>
          <w:i/>
          <w:iCs/>
        </w:rPr>
        <w:t xml:space="preserve">Version du 15 août 2026 · Loi 25 (Québec) · Page publique fluxya.app/confidentialite.</w:t>
      </w:r>
    </w:p>
    <w:p>
      <w:pPr>
        <w:pStyle w:val="Heading2"/>
      </w:pPr>
      <w:r>
        <w:t xml:space="preserve">1. Qui nous sommes</w:t>
      </w:r>
    </w:p>
    <w:p>
      <w:pPr>
        <w:spacing w:after="140"/>
      </w:pPr>
      <w:r>
        <w:t xml:space="preserve">Cette application de gestion est exploitée par Ventilation DGL inc. (771 boul. Industriel, Blainville, Québec). Elle sert à la gestion d'entreprises de services (devis, planification, feuilles de temps, facturation).</w:t>
      </w:r>
    </w:p>
    <w:p>
      <w:pPr>
        <w:pStyle w:val="Heading2"/>
      </w:pPr>
      <w:r>
        <w:t xml:space="preserve">2. Responsable de la protection des renseignements personnels</w:t>
      </w:r>
    </w:p>
    <w:p>
      <w:pPr>
        <w:spacing w:after="140"/>
      </w:pPr>
      <w:r>
        <w:t xml:space="preserve">Jean-François Latour — </w:t>
      </w:r>
      <w:r>
        <w:rPr>
          <w:b/>
          <w:bCs/>
        </w:rPr>
        <w:t xml:space="preserve">jeanfrancois@ventilationdgl.com</w:t>
      </w:r>
      <w:r>
        <w:t xml:space="preserve">. Toute question, demande d'accès, de rectification ou de retrait de renseignements personnels lui est adressée.</w:t>
      </w:r>
    </w:p>
    <w:p>
      <w:pPr>
        <w:pStyle w:val="Heading2"/>
      </w:pPr>
      <w:r>
        <w:t xml:space="preserve">3. Ce que nous recueillons, et pourquoi</w:t>
      </w:r>
    </w:p>
    <w:p>
      <w:pPr>
        <w:spacing w:after="140"/>
      </w:pPr>
      <w:r>
        <w:t xml:space="preserve">Uniquement ce qui sert à la gestion des opérations :</w:t>
      </w:r>
    </w:p>
    <w:p>
      <w:pPr>
        <w:pStyle w:val="ListParagraph"/>
        <w:numPr>
          <w:ilvl w:val="0"/>
          <w:numId w:val="2"/>
        </w:numPr>
      </w:pPr>
      <w:r>
        <w:rPr>
          <w:b/>
          <w:bCs/>
        </w:rPr>
        <w:t xml:space="preserve">Employés des entreprises utilisatrices</w:t>
      </w:r>
      <w:r>
        <w:t xml:space="preserve"> : nom, courriel, téléphone, métier et niveau, heures travaillées, inspections de véhicules — pour la planification et la paie.</w:t>
      </w:r>
    </w:p>
    <w:p>
      <w:pPr>
        <w:pStyle w:val="ListParagraph"/>
        <w:numPr>
          <w:ilvl w:val="0"/>
          <w:numId w:val="2"/>
        </w:numPr>
      </w:pPr>
      <w:r>
        <w:rPr>
          <w:b/>
          <w:bCs/>
        </w:rPr>
        <w:t xml:space="preserve">Clients des entreprises utilisatrices</w:t>
      </w:r>
      <w:r>
        <w:t xml:space="preserve"> : nom, coordonnées, adresses des travaux, équipements — pour les devis, la réalisation des travaux et la facturation.</w:t>
      </w:r>
    </w:p>
    <w:p>
      <w:pPr>
        <w:pStyle w:val="ListParagraph"/>
        <w:numPr>
          <w:ilvl w:val="0"/>
          <w:numId w:val="2"/>
        </w:numPr>
      </w:pPr>
      <w:r>
        <w:rPr>
          <w:b/>
          <w:bCs/>
        </w:rPr>
        <w:t xml:space="preserve">Photos de chantier</w:t>
      </w:r>
      <w:r>
        <w:t xml:space="preserve"> : prises par les techniciens pour documenter les travaux.</w:t>
      </w:r>
    </w:p>
    <w:p>
      <w:pPr>
        <w:spacing w:after="140"/>
      </w:pPr>
      <w:r>
        <w:t xml:space="preserve">Aucune donnée n'est vendue, louée ni utilisée à des fins publicitaires.</w:t>
      </w:r>
    </w:p>
    <w:p>
      <w:pPr>
        <w:pStyle w:val="Heading2"/>
      </w:pPr>
      <w:r>
        <w:t xml:space="preserve">4. Qui voit quoi</w:t>
      </w:r>
    </w:p>
    <w:p>
      <w:pPr>
        <w:spacing w:after="140"/>
      </w:pPr>
      <w:r>
        <w:t xml:space="preserve">L'accès suit le principe du minimum nécessaire : chaque rôle ne voit que ce que son travail exige (un technicien ne voit pas les prix ; un répartiteur ne voit pas les salaires). Chaque entreprise utilisatrice ne voit que SES données — l'isolation est appliquée par la base de données elle-même. L'exploitant de la plateforme ne consulte pas le contenu des entreprises clientes ; ses accès de support sont explicites et consignés.</w:t>
      </w:r>
    </w:p>
    <w:p>
      <w:pPr>
        <w:pStyle w:val="Heading2"/>
      </w:pPr>
      <w:r>
        <w:t xml:space="preserve">5. Où vivent les données</w:t>
      </w:r>
    </w:p>
    <w:p>
      <w:pPr>
        <w:spacing w:after="140"/>
      </w:pPr>
      <w:r>
        <w:t xml:space="preserve">Les données sont hébergées de façon chiffrée chez nos fournisseurs infonuagiques (Supabase et Vercel), dont les serveurs peuvent être situés à l'extérieur du Québec. Une évaluation des facteurs relatifs à la vie privée encadre cette communication, et des protections contractuelles s'appliquent.</w:t>
      </w:r>
    </w:p>
    <w:p>
      <w:pPr>
        <w:pStyle w:val="Heading2"/>
      </w:pPr>
      <w:r>
        <w:t xml:space="preserve">6. Vos droits</w:t>
      </w:r>
    </w:p>
    <w:p>
      <w:pPr>
        <w:spacing w:after="140"/>
      </w:pPr>
      <w:r>
        <w:t xml:space="preserve">Toute personne peut demander l'accès à ses renseignements, leur rectification ou leur retrait en écrivant au responsable (article 2). Chaque entreprise utilisatrice demeure propriétaire de ses données et peut en obtenir l'export complet, ou leur suppression, sur demande.</w:t>
      </w:r>
    </w:p>
    <w:p>
      <w:pPr>
        <w:pStyle w:val="Heading2"/>
      </w:pPr>
      <w:r>
        <w:t xml:space="preserve">7. Incidents</w:t>
      </w:r>
    </w:p>
    <w:p>
      <w:pPr>
        <w:spacing w:after="140"/>
      </w:pPr>
      <w:r>
        <w:t xml:space="preserve">Tout incident de confidentialité est consigné à un registre. En cas de risque de préjudice sérieux, la Commission d'accès à l'information et les personnes concernées sont notifiées, conformément à la loi.</w:t>
      </w:r>
    </w:p>
    <w:p>
      <w:pPr>
        <w:pStyle w:val="Heading2"/>
      </w:pPr>
      <w:r>
        <w:t xml:space="preserve">8. Conservation</w:t>
      </w:r>
    </w:p>
    <w:p>
      <w:pPr>
        <w:spacing w:after="140"/>
      </w:pPr>
      <w:r>
        <w:t xml:space="preserve">Les données sont conservées tant que l'entreprise utilisatrice est cliente, puis supprimées ou remises sur demande. Les documents à valeur légale ou comptable (devis signés, factures) suivent les délais de conservation prescrits par les lois fiscales.</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4A6"/>
        <w:sz w:val="16"/>
        <w:szCs w:val="16"/>
      </w:rPr>
      <w:t xml:space="preserve">Politique de confidentialite · page </w:t>
    </w:r>
    <w:r>
      <w:rPr>
        <w:color w:val="8A94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080" w:hanging="360"/>
      </w:pPr>
    </w:lvl>
  </w:abstractNum>
  <w:abstractNum w:abstractNumId="3"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outlineLvl w:val="0"/>
    </w:pPr>
    <w:rPr>
      <w:b/>
      <w:bCs/>
      <w:color w:val="131B2E"/>
      <w:sz w:val="32"/>
      <w:szCs w:val="32"/>
    </w:rPr>
  </w:style>
  <w:style w:type="paragraph" w:styleId="Heading2">
    <w:name w:val="Heading 2"/>
    <w:basedOn w:val="Normal"/>
    <w:next w:val="Normal"/>
    <w:qFormat/>
    <w:pPr>
      <w:spacing w:after="120" w:before="240"/>
      <w:outlineLvl w:val="1"/>
    </w:pPr>
    <w:rPr>
      <w:b/>
      <w:bCs/>
      <w:color w:val="131B2E"/>
      <w:sz w:val="26"/>
      <w:szCs w:val="26"/>
    </w:rPr>
  </w:style>
  <w:style w:type="paragraph" w:styleId="Heading3">
    <w:name w:val="Heading 3"/>
    <w:basedOn w:val="Normal"/>
    <w:next w:val="Normal"/>
    <w:qFormat/>
    <w:pPr>
      <w:spacing w:after="80" w:before="160"/>
      <w:outlineLvl w:val="2"/>
    </w:pPr>
    <w:rPr>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2026-10-09T20:47:01.553Z</dcterms:created>
  <dcterms:modified xsi:type="dcterms:W3CDTF">2026-10-09T20:47:01.553Z</dcterms:modified>
</cp:coreProperties>
</file>

<file path=docProps/custom.xml><?xml version="1.0" encoding="utf-8"?>
<Properties xmlns="http://schemas.openxmlformats.org/officeDocument/2006/custom-properties" xmlns:vt="http://schemas.openxmlformats.org/officeDocument/2006/docPropsVTypes"/>
</file>