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31B2E"/>
          <w:sz w:val="34"/>
          <w:szCs w:val="34"/>
        </w:rPr>
        <w:t xml:space="preserve">ENTENTE DE CLIENT PIONNIER</w:t>
      </w:r>
    </w:p>
    <w:p>
      <w:pPr>
        <w:pBdr>
          <w:bottom w:val="single" w:color="FF6A13" w:sz="6" w:space="8"/>
        </w:pBdr>
        <w:spacing w:after="240"/>
        <w:jc w:val="center"/>
      </w:pPr>
      <w:r>
        <w:rPr>
          <w:rFonts w:ascii="Calibri" w:cs="Calibri" w:eastAsia="Calibri" w:hAnsi="Calibri"/>
          <w:color w:val="555555"/>
          <w:sz w:val="20"/>
          <w:szCs w:val="20"/>
        </w:rPr>
        <w:t xml:space="preserve">Accès au logiciel de gestion — version de rodage · Entente entre entreprises</w:t>
      </w:r>
    </w:p>
    <w:p>
      <w:pPr>
        <w:spacing w:after="120" w:line="300"/>
      </w:pPr>
      <w:r>
        <w:rPr>
          <w:rFonts w:ascii="Calibri" w:cs="Calibri" w:eastAsia="Calibri" w:hAnsi="Calibri"/>
          <w:b/>
          <w:bCs/>
          <w:color w:val="B45309"/>
          <w:sz w:val="20"/>
          <w:szCs w:val="20"/>
        </w:rPr>
        <w:t xml:space="preserve">BROUILLON — à faire réviser par un avocat avant toute signature. </w:t>
      </w:r>
      <w:r>
        <w:rPr>
          <w:rFonts w:ascii="Calibri" w:cs="Calibri" w:eastAsia="Calibri" w:hAnsi="Calibri"/>
          <w:i/>
          <w:iCs/>
          <w:color w:val="555555"/>
          <w:sz w:val="20"/>
          <w:szCs w:val="20"/>
        </w:rPr>
        <w:t xml:space="preserve">S'accompagne de l'Annexe A — Protection des données (document séparé, signé le même jour).</w:t>
      </w:r>
    </w:p>
    <w:p>
      <w:pPr>
        <w:spacing w:after="120" w:line="300"/>
      </w:pPr>
      <w:r>
        <w:rPr>
          <w:rFonts w:ascii="Calibri" w:cs="Calibri" w:eastAsia="Calibri" w:hAnsi="Calibri"/>
          <w:b/>
          <w:bCs/>
          <w:sz w:val="22"/>
          <w:szCs w:val="22"/>
        </w:rPr>
        <w:t xml:space="preserve">ENTRE : </w:t>
      </w:r>
      <w:r>
        <w:rPr>
          <w:rFonts w:ascii="Calibri" w:cs="Calibri" w:eastAsia="Calibri" w:hAnsi="Calibri"/>
          <w:sz w:val="22"/>
          <w:szCs w:val="22"/>
        </w:rPr>
        <w:t xml:space="preserve">Ventilation DGL inc. (ou l'entité qui lui succédera pour l'exploitation du logiciel), ci-après « l'Exploitant »</w:t>
      </w:r>
    </w:p>
    <w:p>
      <w:pPr>
        <w:spacing w:after="120" w:line="300"/>
      </w:pPr>
      <w:r>
        <w:rPr>
          <w:rFonts w:ascii="Calibri" w:cs="Calibri" w:eastAsia="Calibri" w:hAnsi="Calibri"/>
          <w:b/>
          <w:bCs/>
          <w:sz w:val="22"/>
          <w:szCs w:val="22"/>
        </w:rPr>
        <w:t xml:space="preserve">ET : </w:t>
      </w:r>
      <w:r>
        <w:rPr>
          <w:rFonts w:ascii="Calibri" w:cs="Calibri" w:eastAsia="Calibri" w:hAnsi="Calibri"/>
          <w:sz w:val="22"/>
          <w:szCs w:val="22"/>
        </w:rPr>
        <w:t xml:space="preserve">________________________________________________ (l'entreprise utilisatrice), ci-après « le Client pionnier »</w:t>
      </w:r>
    </w:p>
    <w:p>
      <w:pPr>
        <w:pStyle w:val="Heading1"/>
        <w:spacing w:after="120" w:before="280"/>
      </w:pPr>
      <w:r>
        <w:rPr>
          <w:rFonts w:ascii="Calibri" w:cs="Calibri" w:eastAsia="Calibri" w:hAnsi="Calibri"/>
          <w:b/>
          <w:bCs/>
          <w:color w:val="131B2E"/>
          <w:sz w:val="26"/>
          <w:szCs w:val="26"/>
        </w:rPr>
        <w:t xml:space="preserve">1. Objet</w:t>
      </w:r>
    </w:p>
    <w:p>
      <w:pPr>
        <w:spacing w:after="120" w:line="300"/>
      </w:pPr>
      <w:r>
        <w:rPr>
          <w:rFonts w:ascii="Calibri" w:cs="Calibri" w:eastAsia="Calibri" w:hAnsi="Calibri"/>
          <w:sz w:val="22"/>
          <w:szCs w:val="22"/>
        </w:rPr>
        <w:t xml:space="preserve">L'Exploitant donne au Client pionnier accès à son logiciel de gestion d'entreprise de services (applications bureau et mobile, ci-après « le Logiciel »), avec l'ensemble des modules disponibles, en version d'amélioration continue (« rodage »). Le Client pionnier agit comme partenaire de test : il utilise le Logiciel dans ses opérations réelles et contribue à son amélioration.</w:t>
      </w:r>
    </w:p>
    <w:p>
      <w:pPr>
        <w:spacing w:after="120" w:line="300"/>
      </w:pPr>
      <w:r>
        <w:rPr>
          <w:rFonts w:ascii="Calibri" w:cs="Calibri" w:eastAsia="Calibri" w:hAnsi="Calibri"/>
          <w:b/>
          <w:bCs/>
          <w:sz w:val="22"/>
          <w:szCs w:val="22"/>
        </w:rPr>
        <w:t xml:space="preserve">PRÉCISION IMPORTANTE : </w:t>
      </w:r>
      <w:r>
        <w:rPr>
          <w:rFonts w:ascii="Calibri" w:cs="Calibri" w:eastAsia="Calibri" w:hAnsi="Calibri"/>
          <w:sz w:val="22"/>
          <w:szCs w:val="22"/>
        </w:rPr>
        <w:t xml:space="preserve">le terme « Client pionnier » désigne exclusivement un statut tarifaire (conditions d'essai privilégiées accordées aux trois premières entreprises utilisatrices). Il ne confère aucune part, action, option, participation à l'actionnariat, droit de propriété, droit de gestion ni droit de regard dans l'Exploitant, ses sociétés liées ou le Logiciel, et ne crée entre les parties aucune société, société de fait, coentreprise ni mandat. Le Client pionnier n'est pas un fondateur, un associé ni un actionnaire de l'Exploitant, et renonce à toute prétention en ce sens.</w:t>
      </w:r>
    </w:p>
    <w:p>
      <w:pPr>
        <w:pStyle w:val="Heading1"/>
        <w:spacing w:after="120" w:before="280"/>
      </w:pPr>
      <w:r>
        <w:rPr>
          <w:rFonts w:ascii="Calibri" w:cs="Calibri" w:eastAsia="Calibri" w:hAnsi="Calibri"/>
          <w:b/>
          <w:bCs/>
          <w:color w:val="131B2E"/>
          <w:sz w:val="26"/>
          <w:szCs w:val="26"/>
        </w:rPr>
        <w:t xml:space="preserve">2. Gratuité de la première année</w:t>
      </w:r>
    </w:p>
    <w:p>
      <w:pPr>
        <w:pStyle w:val="ListParagraph"/>
        <w:numPr>
          <w:ilvl w:val="0"/>
          <w:numId w:val="2"/>
        </w:numPr>
        <w:spacing w:after="80" w:line="300"/>
      </w:pPr>
      <w:r>
        <w:rPr>
          <w:rFonts w:ascii="Calibri" w:cs="Calibri" w:eastAsia="Calibri" w:hAnsi="Calibri"/>
          <w:b/>
          <w:bCs/>
          <w:sz w:val="22"/>
          <w:szCs w:val="22"/>
        </w:rPr>
        <w:t xml:space="preserve">Douze (12) mois gratuits</w:t>
      </w:r>
      <w:r>
        <w:rPr>
          <w:rFonts w:ascii="Calibri" w:cs="Calibri" w:eastAsia="Calibri" w:hAnsi="Calibri"/>
          <w:sz w:val="22"/>
          <w:szCs w:val="22"/>
        </w:rPr>
        <w:t xml:space="preserve"> à compter de la date de création du compte de l'entreprise, </w:t>
      </w:r>
      <w:r>
        <w:rPr>
          <w:rFonts w:ascii="Calibri" w:cs="Calibri" w:eastAsia="Calibri" w:hAnsi="Calibri"/>
          <w:b/>
          <w:bCs/>
          <w:sz w:val="22"/>
          <w:szCs w:val="22"/>
        </w:rPr>
        <w:t xml:space="preserve">utilisateurs illimités</w:t>
      </w:r>
      <w:r>
        <w:rPr>
          <w:rFonts w:ascii="Calibri" w:cs="Calibri" w:eastAsia="Calibri" w:hAnsi="Calibri"/>
          <w:sz w:val="22"/>
          <w:szCs w:val="22"/>
        </w:rPr>
        <w:t xml:space="preserve"> pendant cette période.</w:t>
      </w:r>
    </w:p>
    <w:p>
      <w:pPr>
        <w:pStyle w:val="ListParagraph"/>
        <w:numPr>
          <w:ilvl w:val="0"/>
          <w:numId w:val="2"/>
        </w:numPr>
        <w:spacing w:after="80" w:line="300"/>
      </w:pPr>
      <w:r>
        <w:rPr>
          <w:rFonts w:ascii="Calibri" w:cs="Calibri" w:eastAsia="Calibri" w:hAnsi="Calibri"/>
          <w:sz w:val="22"/>
          <w:szCs w:val="22"/>
        </w:rPr>
        <w:t xml:space="preserve">La gratuité comprend </w:t>
      </w:r>
      <w:r>
        <w:rPr>
          <w:rFonts w:ascii="Calibri" w:cs="Calibri" w:eastAsia="Calibri" w:hAnsi="Calibri"/>
          <w:b/>
          <w:bCs/>
          <w:sz w:val="22"/>
          <w:szCs w:val="22"/>
        </w:rPr>
        <w:t xml:space="preserve">l'infrastructure complète</w:t>
      </w:r>
      <w:r>
        <w:rPr>
          <w:rFonts w:ascii="Calibri" w:cs="Calibri" w:eastAsia="Calibri" w:hAnsi="Calibri"/>
          <w:sz w:val="22"/>
          <w:szCs w:val="22"/>
        </w:rPr>
        <w:t xml:space="preserve"> : hébergement, stockage des données et des photos, envoi des courriels transactionnels, sauvegardes.</w:t>
      </w:r>
    </w:p>
    <w:p>
      <w:pPr>
        <w:pStyle w:val="ListParagraph"/>
        <w:numPr>
          <w:ilvl w:val="0"/>
          <w:numId w:val="2"/>
        </w:numPr>
        <w:spacing w:after="80" w:line="300"/>
      </w:pPr>
      <w:r>
        <w:rPr>
          <w:rFonts w:ascii="Calibri" w:cs="Calibri" w:eastAsia="Calibri" w:hAnsi="Calibri"/>
          <w:sz w:val="22"/>
          <w:szCs w:val="22"/>
        </w:rPr>
        <w:t xml:space="preserve">En contrepartie, le Client pionnier s'engage à : (a) utiliser réellement le Logiciel dans ses opérations ; (b) fournir un retour d'usage au moins une fois par mois ; (c) signaler les anomalies rencontrées. S'il cesse d'utiliser le Logiciel ou de fournir ses retours pendant plus de soixante (60) jours, l'Exploitant peut mettre fin à la gratuité après un avis écrit de quinze (15) jours.</w:t>
      </w:r>
    </w:p>
    <w:p>
      <w:pPr>
        <w:pStyle w:val="Heading1"/>
        <w:spacing w:after="120" w:before="280"/>
      </w:pPr>
      <w:r>
        <w:rPr>
          <w:rFonts w:ascii="Calibri" w:cs="Calibri" w:eastAsia="Calibri" w:hAnsi="Calibri"/>
          <w:b/>
          <w:bCs/>
          <w:color w:val="131B2E"/>
          <w:sz w:val="26"/>
          <w:szCs w:val="26"/>
        </w:rPr>
        <w:t xml:space="preserve">3. Prix fondateur — 25 % à vie</w:t>
      </w:r>
    </w:p>
    <w:p>
      <w:pPr>
        <w:pStyle w:val="ListParagraph"/>
        <w:numPr>
          <w:ilvl w:val="0"/>
          <w:numId w:val="2"/>
        </w:numPr>
        <w:spacing w:after="80" w:line="300"/>
      </w:pPr>
      <w:r>
        <w:rPr>
          <w:rFonts w:ascii="Calibri" w:cs="Calibri" w:eastAsia="Calibri" w:hAnsi="Calibri"/>
          <w:sz w:val="22"/>
          <w:szCs w:val="22"/>
        </w:rPr>
        <w:t xml:space="preserve">Au terme de la première année, l'abonnement devient payant au </w:t>
      </w:r>
      <w:r>
        <w:rPr>
          <w:rFonts w:ascii="Calibri" w:cs="Calibri" w:eastAsia="Calibri" w:hAnsi="Calibri"/>
          <w:b/>
          <w:bCs/>
          <w:sz w:val="22"/>
          <w:szCs w:val="22"/>
        </w:rPr>
        <w:t xml:space="preserve">tarif fondateur : rabais de vingt-cinq pour cent (25 %) à vie</w:t>
      </w:r>
      <w:r>
        <w:rPr>
          <w:rFonts w:ascii="Calibri" w:cs="Calibri" w:eastAsia="Calibri" w:hAnsi="Calibri"/>
          <w:sz w:val="22"/>
          <w:szCs w:val="22"/>
        </w:rPr>
        <w:t xml:space="preserve"> sur le prix régulier en vigueur, applicable à la fois au forfait mensuel de base et au prix par utilisateur supplémentaire.</w:t>
      </w:r>
    </w:p>
    <w:p>
      <w:pPr>
        <w:pStyle w:val="ListParagraph"/>
        <w:numPr>
          <w:ilvl w:val="0"/>
          <w:numId w:val="2"/>
        </w:numPr>
        <w:spacing w:after="80" w:line="300"/>
      </w:pPr>
      <w:r>
        <w:rPr>
          <w:rFonts w:ascii="Calibri" w:cs="Calibri" w:eastAsia="Calibri" w:hAnsi="Calibri"/>
          <w:sz w:val="22"/>
          <w:szCs w:val="22"/>
        </w:rPr>
        <w:t xml:space="preserve">Le prix régulier peut être ajusté annuellement par l'Exploitant sur préavis de trente (30) jours ; le rabais de 25 % s'applique alors au prix ajusté.</w:t>
      </w:r>
    </w:p>
    <w:p>
      <w:pPr>
        <w:pStyle w:val="ListParagraph"/>
        <w:numPr>
          <w:ilvl w:val="0"/>
          <w:numId w:val="2"/>
        </w:numPr>
        <w:spacing w:after="80" w:line="300"/>
      </w:pPr>
      <w:r>
        <w:rPr>
          <w:rFonts w:ascii="Calibri" w:cs="Calibri" w:eastAsia="Calibri" w:hAnsi="Calibri"/>
          <w:sz w:val="22"/>
          <w:szCs w:val="22"/>
        </w:rPr>
        <w:t xml:space="preserve">Le tarif fondateur demeure acquis </w:t>
      </w:r>
      <w:r>
        <w:rPr>
          <w:rFonts w:ascii="Calibri" w:cs="Calibri" w:eastAsia="Calibri" w:hAnsi="Calibri"/>
          <w:b/>
          <w:bCs/>
          <w:sz w:val="22"/>
          <w:szCs w:val="22"/>
        </w:rPr>
        <w:t xml:space="preserve">tant que l'abonnement reste actif et sans interruption</w:t>
      </w:r>
      <w:r>
        <w:rPr>
          <w:rFonts w:ascii="Calibri" w:cs="Calibri" w:eastAsia="Calibri" w:hAnsi="Calibri"/>
          <w:sz w:val="22"/>
          <w:szCs w:val="22"/>
        </w:rPr>
        <w:t xml:space="preserve">. En cas de résiliation puis de retour, le tarif régulier s'applique.</w:t>
      </w:r>
    </w:p>
    <w:p>
      <w:pPr>
        <w:pStyle w:val="ListParagraph"/>
        <w:numPr>
          <w:ilvl w:val="0"/>
          <w:numId w:val="2"/>
        </w:numPr>
        <w:spacing w:after="80" w:line="300"/>
      </w:pPr>
      <w:r>
        <w:rPr>
          <w:rFonts w:ascii="Calibri" w:cs="Calibri" w:eastAsia="Calibri" w:hAnsi="Calibri"/>
          <w:sz w:val="22"/>
          <w:szCs w:val="22"/>
        </w:rPr>
        <w:t xml:space="preserve">La facturation est mensuelle, par débit préautorisé ou tout autre mode convenu. Le premier mois civil suivant l'activation d'un utilisateur supplémentaire se facture au prorata des jours restants.</w:t>
      </w:r>
    </w:p>
    <w:p>
      <w:pPr>
        <w:pStyle w:val="Heading1"/>
        <w:spacing w:after="120" w:before="280"/>
      </w:pPr>
      <w:r>
        <w:rPr>
          <w:rFonts w:ascii="Calibri" w:cs="Calibri" w:eastAsia="Calibri" w:hAnsi="Calibri"/>
          <w:b/>
          <w:bCs/>
          <w:color w:val="131B2E"/>
          <w:sz w:val="26"/>
          <w:szCs w:val="26"/>
        </w:rPr>
        <w:t xml:space="preserve">4. Propriété intellectuelle — interdiction de copie</w:t>
      </w:r>
    </w:p>
    <w:p>
      <w:pPr>
        <w:pStyle w:val="ListParagraph"/>
        <w:numPr>
          <w:ilvl w:val="0"/>
          <w:numId w:val="2"/>
        </w:numPr>
        <w:spacing w:after="80" w:line="300"/>
      </w:pPr>
      <w:r>
        <w:rPr>
          <w:rFonts w:ascii="Calibri" w:cs="Calibri" w:eastAsia="Calibri" w:hAnsi="Calibri"/>
          <w:sz w:val="22"/>
          <w:szCs w:val="22"/>
        </w:rPr>
        <w:t xml:space="preserve">Le Logiciel — son code, ses interfaces, sa structure, ses écrans, ses règles de calcul, sa documentation — est et demeure la </w:t>
      </w:r>
      <w:r>
        <w:rPr>
          <w:rFonts w:ascii="Calibri" w:cs="Calibri" w:eastAsia="Calibri" w:hAnsi="Calibri"/>
          <w:b/>
          <w:bCs/>
          <w:sz w:val="22"/>
          <w:szCs w:val="22"/>
        </w:rPr>
        <w:t xml:space="preserve">propriété exclusive de l'Exploitant</w:t>
      </w:r>
      <w:r>
        <w:rPr>
          <w:rFonts w:ascii="Calibri" w:cs="Calibri" w:eastAsia="Calibri" w:hAnsi="Calibri"/>
          <w:sz w:val="22"/>
          <w:szCs w:val="22"/>
        </w:rPr>
        <w:t xml:space="preserve">. La présente entente ne confère au Client pionnier qu'un droit d'utilisation, non exclusif et non transférable.</w:t>
      </w:r>
    </w:p>
    <w:p>
      <w:pPr>
        <w:pStyle w:val="ListParagraph"/>
        <w:numPr>
          <w:ilvl w:val="0"/>
          <w:numId w:val="2"/>
        </w:numPr>
        <w:spacing w:after="80" w:line="300"/>
      </w:pPr>
      <w:r>
        <w:rPr>
          <w:rFonts w:ascii="Calibri" w:cs="Calibri" w:eastAsia="Calibri" w:hAnsi="Calibri"/>
          <w:sz w:val="22"/>
          <w:szCs w:val="22"/>
        </w:rPr>
        <w:t xml:space="preserve">Le Client pionnier s'engage à </w:t>
      </w:r>
      <w:r>
        <w:rPr>
          <w:rFonts w:ascii="Calibri" w:cs="Calibri" w:eastAsia="Calibri" w:hAnsi="Calibri"/>
          <w:b/>
          <w:bCs/>
          <w:sz w:val="22"/>
          <w:szCs w:val="22"/>
        </w:rPr>
        <w:t xml:space="preserve">ne pas copier, reproduire, décompiler, désosser (rétro-ingénierie), traduire ni adapter</w:t>
      </w:r>
      <w:r>
        <w:rPr>
          <w:rFonts w:ascii="Calibri" w:cs="Calibri" w:eastAsia="Calibri" w:hAnsi="Calibri"/>
          <w:sz w:val="22"/>
          <w:szCs w:val="22"/>
        </w:rPr>
        <w:t xml:space="preserve"> le Logiciel, en tout ou en partie, ni à </w:t>
      </w:r>
      <w:r>
        <w:rPr>
          <w:rFonts w:ascii="Calibri" w:cs="Calibri" w:eastAsia="Calibri" w:hAnsi="Calibri"/>
          <w:b/>
          <w:bCs/>
          <w:sz w:val="22"/>
          <w:szCs w:val="22"/>
        </w:rPr>
        <w:t xml:space="preserve">faire développer — par lui-même ou par un tiers — un logiciel substantiellement semblable</w:t>
      </w:r>
      <w:r>
        <w:rPr>
          <w:rFonts w:ascii="Calibri" w:cs="Calibri" w:eastAsia="Calibri" w:hAnsi="Calibri"/>
          <w:sz w:val="22"/>
          <w:szCs w:val="22"/>
        </w:rPr>
        <w:t xml:space="preserve"> au Logiciel, ni à aider ou renseigner un tiers à cette fin.</w:t>
      </w:r>
    </w:p>
    <w:p>
      <w:pPr>
        <w:pStyle w:val="ListParagraph"/>
        <w:numPr>
          <w:ilvl w:val="0"/>
          <w:numId w:val="2"/>
        </w:numPr>
        <w:spacing w:after="80" w:line="300"/>
      </w:pPr>
      <w:r>
        <w:rPr>
          <w:rFonts w:ascii="Calibri" w:cs="Calibri" w:eastAsia="Calibri" w:hAnsi="Calibri"/>
          <w:b/>
          <w:bCs/>
          <w:sz w:val="22"/>
          <w:szCs w:val="22"/>
        </w:rPr>
        <w:t xml:space="preserve">Sanction convenue : </w:t>
      </w:r>
      <w:r>
        <w:rPr>
          <w:rFonts w:ascii="Calibri" w:cs="Calibri" w:eastAsia="Calibri" w:hAnsi="Calibri"/>
          <w:sz w:val="22"/>
          <w:szCs w:val="22"/>
        </w:rPr>
        <w:t xml:space="preserve">en cas de violation, le Client pionnier reconnaît que l'Exploitant pourra, en plus de tout autre recours (dommages-intérêts, injonction) : (a) résilier la présente entente sans préavis ; (b) </w:t>
      </w:r>
      <w:r>
        <w:rPr>
          <w:rFonts w:ascii="Calibri" w:cs="Calibri" w:eastAsia="Calibri" w:hAnsi="Calibri"/>
          <w:b/>
          <w:bCs/>
          <w:sz w:val="22"/>
          <w:szCs w:val="22"/>
        </w:rPr>
        <w:t xml:space="preserve">réclamer la totalité des revenus générés par toute application issue d'une copie ou présentant une ressemblance substantielle avec le Logiciel</w:t>
      </w:r>
      <w:r>
        <w:rPr>
          <w:rFonts w:ascii="Calibri" w:cs="Calibri" w:eastAsia="Calibri" w:hAnsi="Calibri"/>
          <w:sz w:val="22"/>
          <w:szCs w:val="22"/>
        </w:rPr>
        <w:t xml:space="preserve">, à titre de restitution des profits ; (c) exercer tout recours judiciaire utile devant les tribunaux compétents.</w:t>
      </w:r>
    </w:p>
    <w:p>
      <w:pPr>
        <w:pStyle w:val="ListParagraph"/>
        <w:numPr>
          <w:ilvl w:val="0"/>
          <w:numId w:val="2"/>
        </w:numPr>
        <w:spacing w:after="80" w:line="300"/>
      </w:pPr>
      <w:r>
        <w:rPr>
          <w:rFonts w:ascii="Calibri" w:cs="Calibri" w:eastAsia="Calibri" w:hAnsi="Calibri"/>
          <w:sz w:val="22"/>
          <w:szCs w:val="22"/>
        </w:rPr>
        <w:t xml:space="preserve">La présente clause </w:t>
      </w:r>
      <w:r>
        <w:rPr>
          <w:rFonts w:ascii="Calibri" w:cs="Calibri" w:eastAsia="Calibri" w:hAnsi="Calibri"/>
          <w:b/>
          <w:bCs/>
          <w:sz w:val="22"/>
          <w:szCs w:val="22"/>
        </w:rPr>
        <w:t xml:space="preserve">survit à la fin de l'entente</w:t>
      </w:r>
      <w:r>
        <w:rPr>
          <w:rFonts w:ascii="Calibri" w:cs="Calibri" w:eastAsia="Calibri" w:hAnsi="Calibri"/>
          <w:sz w:val="22"/>
          <w:szCs w:val="22"/>
        </w:rPr>
        <w:t xml:space="preserve">, quelle qu'en soit la cause.</w:t>
      </w:r>
    </w:p>
    <w:p>
      <w:pPr>
        <w:pStyle w:val="Heading1"/>
        <w:spacing w:after="120" w:before="280"/>
      </w:pPr>
      <w:r>
        <w:rPr>
          <w:rFonts w:ascii="Calibri" w:cs="Calibri" w:eastAsia="Calibri" w:hAnsi="Calibri"/>
          <w:b/>
          <w:bCs/>
          <w:color w:val="131B2E"/>
          <w:sz w:val="26"/>
          <w:szCs w:val="26"/>
        </w:rPr>
        <w:t xml:space="preserve">5. Confidentialité</w:t>
      </w:r>
    </w:p>
    <w:p>
      <w:pPr>
        <w:spacing w:after="120" w:line="300"/>
      </w:pPr>
      <w:r>
        <w:rPr>
          <w:rFonts w:ascii="Calibri" w:cs="Calibri" w:eastAsia="Calibri" w:hAnsi="Calibri"/>
          <w:sz w:val="22"/>
          <w:szCs w:val="22"/>
        </w:rPr>
        <w:t xml:space="preserve">Le Client pionnier ne divulgue pas le fonctionnement interne du Logiciel (écrans, règles, structure) à un concurrent de l'Exploitant ni à un développeur tiers à des fins de reproduction, et n'accorde l'accès au Logiciel qu'à ses propres employés. Cette obligation survit cinq (5) ans à la fin de l'entente.</w:t>
      </w:r>
    </w:p>
    <w:p>
      <w:pPr>
        <w:pStyle w:val="Heading1"/>
        <w:spacing w:after="120" w:before="280"/>
      </w:pPr>
      <w:r>
        <w:rPr>
          <w:rFonts w:ascii="Calibri" w:cs="Calibri" w:eastAsia="Calibri" w:hAnsi="Calibri"/>
          <w:b/>
          <w:bCs/>
          <w:color w:val="131B2E"/>
          <w:sz w:val="26"/>
          <w:szCs w:val="26"/>
        </w:rPr>
        <w:t xml:space="preserve">6. Données du Client pionnier</w:t>
      </w:r>
    </w:p>
    <w:p>
      <w:pPr>
        <w:spacing w:after="120" w:line="300"/>
      </w:pPr>
      <w:r>
        <w:rPr>
          <w:rFonts w:ascii="Calibri" w:cs="Calibri" w:eastAsia="Calibri" w:hAnsi="Calibri"/>
          <w:sz w:val="22"/>
          <w:szCs w:val="22"/>
        </w:rPr>
        <w:t xml:space="preserve">Les données saisies par le Client pionnier lui appartiennent. Leur protection, l'isolation entre entreprises, la conformité à la Loi 25, l'export complet et la remise en fin d'entente sont régis par </w:t>
      </w:r>
      <w:r>
        <w:rPr>
          <w:rFonts w:ascii="Calibri" w:cs="Calibri" w:eastAsia="Calibri" w:hAnsi="Calibri"/>
          <w:b/>
          <w:bCs/>
          <w:sz w:val="22"/>
          <w:szCs w:val="22"/>
        </w:rPr>
        <w:t xml:space="preserve">l'Annexe A — Protection des données</w:t>
      </w:r>
      <w:r>
        <w:rPr>
          <w:rFonts w:ascii="Calibri" w:cs="Calibri" w:eastAsia="Calibri" w:hAnsi="Calibri"/>
          <w:sz w:val="22"/>
          <w:szCs w:val="22"/>
        </w:rPr>
        <w:t xml:space="preserve">, qui fait partie intégrante de la présente entente.</w:t>
      </w:r>
    </w:p>
    <w:p>
      <w:pPr>
        <w:pStyle w:val="Heading1"/>
        <w:spacing w:after="120" w:before="280"/>
      </w:pPr>
      <w:r>
        <w:rPr>
          <w:rFonts w:ascii="Calibri" w:cs="Calibri" w:eastAsia="Calibri" w:hAnsi="Calibri"/>
          <w:b/>
          <w:bCs/>
          <w:color w:val="131B2E"/>
          <w:sz w:val="26"/>
          <w:szCs w:val="26"/>
        </w:rPr>
        <w:t xml:space="preserve">7. Version en rodage — garanties limitées</w:t>
      </w:r>
    </w:p>
    <w:p>
      <w:pPr>
        <w:spacing w:after="120" w:line="300"/>
      </w:pPr>
      <w:r>
        <w:rPr>
          <w:rFonts w:ascii="Calibri" w:cs="Calibri" w:eastAsia="Calibri" w:hAnsi="Calibri"/>
          <w:sz w:val="22"/>
          <w:szCs w:val="22"/>
        </w:rPr>
        <w:t xml:space="preserve">Pendant la durée de l'entente, le Logiciel est fourni « tel quel » : des anomalies ou interruptions peuvent survenir. L'Exploitant effectue des sauvegardes régulières et fait des efforts raisonnables pour corriger les anomalies signalées, mais n'offre aucune garantie de disponibilité ni d'adéquation à un usage particulier. La responsabilité totale de l'Exploitant, toutes causes confondues, est limitée aux montants effectivement payés par le Client pionnier au cours des douze (12) mois précédant la réclamation, et exclut tout dommage indirect (perte de profits, perte de données au-delà de la dernière sauvegarde, perte de clientèle).</w:t>
      </w:r>
    </w:p>
    <w:p>
      <w:pPr>
        <w:pStyle w:val="Heading1"/>
        <w:spacing w:after="120" w:before="280"/>
      </w:pPr>
      <w:r>
        <w:rPr>
          <w:rFonts w:ascii="Calibri" w:cs="Calibri" w:eastAsia="Calibri" w:hAnsi="Calibri"/>
          <w:b/>
          <w:bCs/>
          <w:color w:val="131B2E"/>
          <w:sz w:val="26"/>
          <w:szCs w:val="26"/>
        </w:rPr>
        <w:t xml:space="preserve">8. Durée et résiliation</w:t>
      </w:r>
    </w:p>
    <w:p>
      <w:pPr>
        <w:pStyle w:val="ListParagraph"/>
        <w:numPr>
          <w:ilvl w:val="0"/>
          <w:numId w:val="2"/>
        </w:numPr>
        <w:spacing w:after="80" w:line="300"/>
      </w:pPr>
      <w:r>
        <w:rPr>
          <w:rFonts w:ascii="Calibri" w:cs="Calibri" w:eastAsia="Calibri" w:hAnsi="Calibri"/>
          <w:sz w:val="22"/>
          <w:szCs w:val="22"/>
        </w:rPr>
        <w:t xml:space="preserve">L'entente prend effet à la signature et se poursuit tant que l'abonnement est actif.</w:t>
      </w:r>
    </w:p>
    <w:p>
      <w:pPr>
        <w:pStyle w:val="ListParagraph"/>
        <w:numPr>
          <w:ilvl w:val="0"/>
          <w:numId w:val="2"/>
        </w:numPr>
        <w:spacing w:after="80" w:line="300"/>
      </w:pPr>
      <w:r>
        <w:rPr>
          <w:rFonts w:ascii="Calibri" w:cs="Calibri" w:eastAsia="Calibri" w:hAnsi="Calibri"/>
          <w:sz w:val="22"/>
          <w:szCs w:val="22"/>
        </w:rPr>
        <w:t xml:space="preserve">Chaque partie peut y mettre fin en tout temps sur préavis écrit de trente (30) jours.</w:t>
      </w:r>
    </w:p>
    <w:p>
      <w:pPr>
        <w:pStyle w:val="ListParagraph"/>
        <w:numPr>
          <w:ilvl w:val="0"/>
          <w:numId w:val="2"/>
        </w:numPr>
        <w:spacing w:after="80" w:line="300"/>
      </w:pPr>
      <w:r>
        <w:rPr>
          <w:rFonts w:ascii="Calibri" w:cs="Calibri" w:eastAsia="Calibri" w:hAnsi="Calibri"/>
          <w:sz w:val="22"/>
          <w:szCs w:val="22"/>
        </w:rPr>
        <w:t xml:space="preserve">À la fin de l'entente : l'export complet des données est remis au Client pionnier sans frais, puis les données sont supprimées sur demande écrite, sous réserve des délais de conservation légaux. Les clauses 4 (propriété intellectuelle) et 5 (confidentialité) survivent.</w:t>
      </w:r>
    </w:p>
    <w:p>
      <w:pPr>
        <w:pStyle w:val="Heading1"/>
        <w:spacing w:after="120" w:before="280"/>
      </w:pPr>
      <w:r>
        <w:rPr>
          <w:rFonts w:ascii="Calibri" w:cs="Calibri" w:eastAsia="Calibri" w:hAnsi="Calibri"/>
          <w:b/>
          <w:bCs/>
          <w:color w:val="131B2E"/>
          <w:sz w:val="26"/>
          <w:szCs w:val="26"/>
        </w:rPr>
        <w:t xml:space="preserve">9. Dispositions générales</w:t>
      </w:r>
    </w:p>
    <w:p>
      <w:pPr>
        <w:pStyle w:val="ListParagraph"/>
        <w:numPr>
          <w:ilvl w:val="0"/>
          <w:numId w:val="2"/>
        </w:numPr>
        <w:spacing w:after="80" w:line="300"/>
      </w:pPr>
      <w:r>
        <w:rPr>
          <w:rFonts w:ascii="Calibri" w:cs="Calibri" w:eastAsia="Calibri" w:hAnsi="Calibri"/>
          <w:sz w:val="22"/>
          <w:szCs w:val="22"/>
        </w:rPr>
        <w:t xml:space="preserve">La présente entente et son Annexe A constituent l'entente complète entre les parties.</w:t>
      </w:r>
    </w:p>
    <w:p>
      <w:pPr>
        <w:pStyle w:val="ListParagraph"/>
        <w:numPr>
          <w:ilvl w:val="0"/>
          <w:numId w:val="2"/>
        </w:numPr>
        <w:spacing w:after="80" w:line="300"/>
      </w:pPr>
      <w:r>
        <w:rPr>
          <w:rFonts w:ascii="Calibri" w:cs="Calibri" w:eastAsia="Calibri" w:hAnsi="Calibri"/>
          <w:sz w:val="22"/>
          <w:szCs w:val="22"/>
        </w:rPr>
        <w:t xml:space="preserve">Elle est régie par les lois du Québec ; tout litige relève des tribunaux du district judiciaire de l'Exploitant.</w:t>
      </w:r>
    </w:p>
    <w:p>
      <w:pPr>
        <w:pStyle w:val="ListParagraph"/>
        <w:numPr>
          <w:ilvl w:val="0"/>
          <w:numId w:val="2"/>
        </w:numPr>
        <w:spacing w:after="80" w:line="300"/>
      </w:pPr>
      <w:r>
        <w:rPr>
          <w:rFonts w:ascii="Calibri" w:cs="Calibri" w:eastAsia="Calibri" w:hAnsi="Calibri"/>
          <w:sz w:val="22"/>
          <w:szCs w:val="22"/>
        </w:rPr>
        <w:t xml:space="preserve">Le Client pionnier ne peut céder l'entente sans le consentement écrit de l'Exploitant.</w:t>
      </w:r>
    </w:p>
    <w:p>
      <w:pPr>
        <w:pStyle w:val="ListParagraph"/>
        <w:numPr>
          <w:ilvl w:val="0"/>
          <w:numId w:val="2"/>
        </w:numPr>
        <w:spacing w:after="80" w:line="300"/>
      </w:pPr>
      <w:r>
        <w:rPr>
          <w:rFonts w:ascii="Calibri" w:cs="Calibri" w:eastAsia="Calibri" w:hAnsi="Calibri"/>
          <w:sz w:val="22"/>
          <w:szCs w:val="22"/>
        </w:rPr>
        <w:t xml:space="preserve">Si une clause est jugée invalide, les autres demeurent en vigueur.</w:t>
      </w:r>
    </w:p>
    <w:p>
      <w:pPr>
        <w:spacing w:after="60" w:before="320"/>
      </w:pPr>
      <w:r>
        <w:rPr>
          <w:rFonts w:ascii="Calibri" w:cs="Calibri" w:eastAsia="Calibri" w:hAnsi="Calibri"/>
          <w:b/>
          <w:bCs/>
          <w:sz w:val="22"/>
          <w:szCs w:val="22"/>
        </w:rPr>
        <w:t xml:space="preserve">L'Exploitant — Ventilation DGL inc.</w:t>
      </w:r>
    </w:p>
    <w:p>
      <w:pPr>
        <w:spacing w:after="120" w:line="300"/>
      </w:pPr>
      <w:r>
        <w:rPr>
          <w:rFonts w:ascii="Calibri" w:cs="Calibri" w:eastAsia="Calibri" w:hAnsi="Calibri"/>
          <w:sz w:val="22"/>
          <w:szCs w:val="22"/>
        </w:rPr>
        <w:t xml:space="preserve">Par : ________________________________     Date : ________________</w:t>
      </w:r>
    </w:p>
    <w:p>
      <w:pPr>
        <w:spacing w:after="60" w:before="320"/>
      </w:pPr>
      <w:r>
        <w:rPr>
          <w:rFonts w:ascii="Calibri" w:cs="Calibri" w:eastAsia="Calibri" w:hAnsi="Calibri"/>
          <w:b/>
          <w:bCs/>
          <w:sz w:val="22"/>
          <w:szCs w:val="22"/>
        </w:rPr>
        <w:t xml:space="preserve">Le Client pionnier — ________________________________</w:t>
      </w:r>
    </w:p>
    <w:p>
      <w:pPr>
        <w:spacing w:after="120" w:line="300"/>
      </w:pPr>
      <w:r>
        <w:rPr>
          <w:rFonts w:ascii="Calibri" w:cs="Calibri" w:eastAsia="Calibri" w:hAnsi="Calibri"/>
          <w:sz w:val="22"/>
          <w:szCs w:val="22"/>
        </w:rPr>
        <w:t xml:space="preserve">Par : ________________________________     Date : ________________</w:t>
      </w:r>
    </w:p>
    <w:p>
      <w:pPr>
        <w:spacing w:before="200"/>
      </w:pPr>
      <w:r>
        <w:rPr>
          <w:rFonts w:ascii="Calibri" w:cs="Calibri" w:eastAsia="Calibri" w:hAnsi="Calibri"/>
          <w:i/>
          <w:iCs/>
          <w:color w:val="555555"/>
          <w:sz w:val="18"/>
          <w:szCs w:val="18"/>
        </w:rPr>
        <w:t xml:space="preserve">Annexe A — Protection des données : signée le même jour (document joint).</w:t>
      </w:r>
    </w:p>
    <w:sectPr>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2026-08-16T03:09:14.521Z</dcterms:created>
  <dcterms:modified xsi:type="dcterms:W3CDTF">2026-08-16T03:09:14.522Z</dcterms:modified>
</cp:coreProperties>
</file>

<file path=docProps/custom.xml><?xml version="1.0" encoding="utf-8"?>
<Properties xmlns="http://schemas.openxmlformats.org/officeDocument/2006/custom-properties" xmlns:vt="http://schemas.openxmlformats.org/officeDocument/2006/docPropsVTypes"/>
</file>