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AF" w:rsidRPr="00916459" w:rsidRDefault="00AB1F9D" w:rsidP="00FD5D4A">
      <w:pPr>
        <w:pStyle w:val="Heading1"/>
        <w:jc w:val="center"/>
        <w:rPr>
          <w:rFonts w:ascii="Times New Roman" w:hAnsi="Times New Roman" w:cs="Times New Roman"/>
          <w:b/>
        </w:rPr>
      </w:pPr>
      <w:bookmarkStart w:id="0" w:name="_GoBack"/>
      <w:bookmarkEnd w:id="0"/>
      <w:r w:rsidRPr="00916459">
        <w:rPr>
          <w:rFonts w:ascii="Times New Roman" w:hAnsi="Times New Roman" w:cs="Times New Roman"/>
          <w:b/>
        </w:rPr>
        <w:t xml:space="preserve">Red Snapper </w:t>
      </w:r>
      <w:r w:rsidR="00784DFF" w:rsidRPr="00916459">
        <w:rPr>
          <w:rFonts w:ascii="Times New Roman" w:hAnsi="Times New Roman" w:cs="Times New Roman"/>
          <w:b/>
        </w:rPr>
        <w:t xml:space="preserve">General </w:t>
      </w:r>
      <w:r w:rsidRPr="00916459">
        <w:rPr>
          <w:rFonts w:ascii="Times New Roman" w:hAnsi="Times New Roman" w:cs="Times New Roman"/>
          <w:b/>
        </w:rPr>
        <w:t>Recreation</w:t>
      </w:r>
      <w:r w:rsidR="00592DD7" w:rsidRPr="00916459">
        <w:rPr>
          <w:rFonts w:ascii="Times New Roman" w:hAnsi="Times New Roman" w:cs="Times New Roman"/>
          <w:b/>
        </w:rPr>
        <w:t>al</w:t>
      </w:r>
      <w:r w:rsidRPr="00916459">
        <w:rPr>
          <w:rFonts w:ascii="Times New Roman" w:hAnsi="Times New Roman" w:cs="Times New Roman"/>
          <w:b/>
        </w:rPr>
        <w:t xml:space="preserve"> </w:t>
      </w:r>
      <w:r w:rsidR="00784DFF" w:rsidRPr="00916459">
        <w:rPr>
          <w:rFonts w:ascii="Times New Roman" w:hAnsi="Times New Roman" w:cs="Times New Roman"/>
          <w:b/>
        </w:rPr>
        <w:t xml:space="preserve">Open and Closed Season </w:t>
      </w:r>
      <w:r w:rsidRPr="00916459">
        <w:rPr>
          <w:rFonts w:ascii="Times New Roman" w:hAnsi="Times New Roman" w:cs="Times New Roman"/>
          <w:b/>
        </w:rPr>
        <w:t xml:space="preserve">Discard </w:t>
      </w:r>
      <w:r w:rsidR="00065408" w:rsidRPr="00916459">
        <w:rPr>
          <w:rFonts w:ascii="Times New Roman" w:hAnsi="Times New Roman" w:cs="Times New Roman"/>
          <w:b/>
        </w:rPr>
        <w:t>Development</w:t>
      </w:r>
    </w:p>
    <w:p w:rsidR="00FD5D4A" w:rsidRPr="00916459" w:rsidRDefault="00FD5D4A" w:rsidP="00FD5D4A">
      <w:pPr>
        <w:rPr>
          <w:rFonts w:ascii="Times New Roman" w:hAnsi="Times New Roman" w:cs="Times New Roman"/>
        </w:rPr>
      </w:pPr>
    </w:p>
    <w:p w:rsidR="00FD5D4A" w:rsidRPr="00916459" w:rsidRDefault="00FD5D4A" w:rsidP="00FD5D4A">
      <w:pPr>
        <w:pStyle w:val="Author"/>
      </w:pPr>
      <w:r w:rsidRPr="00916459">
        <w:t>Gulf of Mexico Fisheries Branch</w:t>
      </w:r>
    </w:p>
    <w:p w:rsidR="00FD5D4A" w:rsidRPr="00916459" w:rsidRDefault="00FD5D4A" w:rsidP="00FD5D4A">
      <w:pPr>
        <w:pStyle w:val="Author"/>
      </w:pPr>
      <w:r w:rsidRPr="00916459">
        <w:t>Sustainable Fisheries Division</w:t>
      </w:r>
    </w:p>
    <w:p w:rsidR="00593448" w:rsidRDefault="00FD5D4A" w:rsidP="00593448">
      <w:pPr>
        <w:pStyle w:val="Author"/>
      </w:pPr>
      <w:r w:rsidRPr="00916459">
        <w:t>NOAA Fisheries - So</w:t>
      </w:r>
      <w:r w:rsidR="00593448">
        <w:t>utheast Fisheries Science Center</w:t>
      </w:r>
    </w:p>
    <w:p w:rsidR="00593448" w:rsidRPr="00593448" w:rsidRDefault="00593448" w:rsidP="00593448">
      <w:pPr>
        <w:pStyle w:val="BodyText"/>
        <w:jc w:val="center"/>
        <w:rPr>
          <w:rFonts w:ascii="Times New Roman" w:hAnsi="Times New Roman" w:cs="Times New Roman"/>
          <w:sz w:val="24"/>
        </w:rPr>
      </w:pPr>
      <w:r w:rsidRPr="00593448">
        <w:rPr>
          <w:rFonts w:ascii="Times New Roman" w:hAnsi="Times New Roman" w:cs="Times New Roman"/>
          <w:sz w:val="24"/>
        </w:rPr>
        <w:t>Corresponding authors email (</w:t>
      </w:r>
      <w:hyperlink r:id="rId8" w:history="1">
        <w:r w:rsidRPr="00593448">
          <w:rPr>
            <w:rStyle w:val="Hyperlink"/>
            <w:rFonts w:ascii="Times New Roman" w:hAnsi="Times New Roman" w:cs="Times New Roman"/>
            <w:sz w:val="24"/>
          </w:rPr>
          <w:t>latreese.denson@noaa.gov</w:t>
        </w:r>
      </w:hyperlink>
      <w:r w:rsidRPr="00593448">
        <w:rPr>
          <w:rFonts w:ascii="Times New Roman" w:hAnsi="Times New Roman" w:cs="Times New Roman"/>
          <w:sz w:val="24"/>
        </w:rPr>
        <w:t xml:space="preserve">, </w:t>
      </w:r>
      <w:r w:rsidRPr="00593448">
        <w:rPr>
          <w:rFonts w:ascii="Times New Roman" w:hAnsi="Times New Roman" w:cs="Times New Roman"/>
          <w:i/>
          <w:color w:val="5B9BD5" w:themeColor="accent1"/>
          <w:sz w:val="24"/>
        </w:rPr>
        <w:t>matthew.w.smith@noaa.gov</w:t>
      </w:r>
      <w:r w:rsidRPr="00593448">
        <w:rPr>
          <w:rFonts w:ascii="Times New Roman" w:hAnsi="Times New Roman" w:cs="Times New Roman"/>
          <w:sz w:val="24"/>
        </w:rPr>
        <w:t>)</w:t>
      </w:r>
    </w:p>
    <w:p w:rsidR="00FD5D4A" w:rsidRPr="00916459" w:rsidRDefault="00FD5D4A" w:rsidP="00FD5D4A">
      <w:pPr>
        <w:pStyle w:val="Date"/>
      </w:pPr>
      <w:r w:rsidRPr="00916459">
        <w:t>June 17, 2022</w:t>
      </w:r>
    </w:p>
    <w:p w:rsidR="00FD5D4A" w:rsidRPr="00916459" w:rsidRDefault="00FD5D4A" w:rsidP="00FD5D4A">
      <w:pPr>
        <w:rPr>
          <w:rFonts w:ascii="Times New Roman" w:hAnsi="Times New Roman" w:cs="Times New Roman"/>
        </w:rPr>
      </w:pPr>
    </w:p>
    <w:p w:rsidR="00784DFF" w:rsidRPr="00916459" w:rsidRDefault="00AB1F9D" w:rsidP="00784DFF">
      <w:pPr>
        <w:pStyle w:val="Heading1"/>
        <w:rPr>
          <w:rFonts w:ascii="Times New Roman" w:hAnsi="Times New Roman" w:cs="Times New Roman"/>
          <w:sz w:val="23"/>
          <w:szCs w:val="23"/>
        </w:rPr>
      </w:pPr>
      <w:r w:rsidRPr="00916459">
        <w:rPr>
          <w:rFonts w:ascii="Times New Roman" w:hAnsi="Times New Roman" w:cs="Times New Roman"/>
        </w:rPr>
        <w:t>Abstract</w:t>
      </w:r>
      <w:r w:rsidR="00784DFF" w:rsidRPr="00916459">
        <w:rPr>
          <w:rFonts w:ascii="Times New Roman" w:hAnsi="Times New Roman" w:cs="Times New Roman"/>
          <w:sz w:val="23"/>
          <w:szCs w:val="23"/>
        </w:rPr>
        <w:t xml:space="preserve"> </w:t>
      </w:r>
    </w:p>
    <w:p w:rsidR="00AB1F9D" w:rsidRPr="004B6668" w:rsidRDefault="004C7F21">
      <w:pPr>
        <w:rPr>
          <w:rFonts w:ascii="Times New Roman" w:hAnsi="Times New Roman" w:cs="Times New Roman"/>
        </w:rPr>
      </w:pPr>
      <w:r w:rsidRPr="004B6668">
        <w:rPr>
          <w:rFonts w:ascii="Times New Roman" w:hAnsi="Times New Roman" w:cs="Times New Roman"/>
        </w:rPr>
        <w:t>General recreational</w:t>
      </w:r>
      <w:r w:rsidR="00B32373" w:rsidRPr="004B6668">
        <w:rPr>
          <w:rFonts w:ascii="Times New Roman" w:hAnsi="Times New Roman" w:cs="Times New Roman"/>
        </w:rPr>
        <w:t xml:space="preserve"> </w:t>
      </w:r>
      <w:r w:rsidR="00D9559E" w:rsidRPr="004B6668">
        <w:rPr>
          <w:rFonts w:ascii="Times New Roman" w:hAnsi="Times New Roman" w:cs="Times New Roman"/>
        </w:rPr>
        <w:t xml:space="preserve">survey </w:t>
      </w:r>
      <w:r w:rsidR="00B32373" w:rsidRPr="004B6668">
        <w:rPr>
          <w:rFonts w:ascii="Times New Roman" w:hAnsi="Times New Roman" w:cs="Times New Roman"/>
        </w:rPr>
        <w:t>data consists of catch and effort information from the Marine Recreational Information Program (MRIP)</w:t>
      </w:r>
      <w:r w:rsidR="00444662" w:rsidRPr="004B6668">
        <w:rPr>
          <w:rFonts w:ascii="Times New Roman" w:hAnsi="Times New Roman" w:cs="Times New Roman"/>
        </w:rPr>
        <w:t>, the</w:t>
      </w:r>
      <w:r w:rsidR="00B32373" w:rsidRPr="004B6668">
        <w:rPr>
          <w:rFonts w:ascii="Times New Roman" w:hAnsi="Times New Roman" w:cs="Times New Roman"/>
        </w:rPr>
        <w:t xml:space="preserve"> </w:t>
      </w:r>
      <w:r w:rsidR="00B32373" w:rsidRPr="00BD37A1">
        <w:rPr>
          <w:rFonts w:ascii="Times New Roman" w:hAnsi="Times New Roman" w:cs="Times New Roman"/>
        </w:rPr>
        <w:t xml:space="preserve">Louisiana </w:t>
      </w:r>
      <w:r w:rsidR="004A3A2F" w:rsidRPr="00BD37A1">
        <w:rPr>
          <w:rFonts w:ascii="Times New Roman" w:hAnsi="Times New Roman" w:cs="Times New Roman"/>
        </w:rPr>
        <w:t>D</w:t>
      </w:r>
      <w:r w:rsidR="00B32373" w:rsidRPr="00BD37A1">
        <w:rPr>
          <w:rFonts w:ascii="Times New Roman" w:hAnsi="Times New Roman" w:cs="Times New Roman"/>
        </w:rPr>
        <w:t xml:space="preserve">epartment of </w:t>
      </w:r>
      <w:r w:rsidR="004A3A2F" w:rsidRPr="00BD37A1">
        <w:rPr>
          <w:rFonts w:ascii="Times New Roman" w:hAnsi="Times New Roman" w:cs="Times New Roman"/>
        </w:rPr>
        <w:t>W</w:t>
      </w:r>
      <w:r w:rsidR="00B32373" w:rsidRPr="00BD37A1">
        <w:rPr>
          <w:rFonts w:ascii="Times New Roman" w:hAnsi="Times New Roman" w:cs="Times New Roman"/>
        </w:rPr>
        <w:t xml:space="preserve">ildlife and </w:t>
      </w:r>
      <w:r w:rsidR="004A3A2F" w:rsidRPr="00BD37A1">
        <w:rPr>
          <w:rFonts w:ascii="Times New Roman" w:hAnsi="Times New Roman" w:cs="Times New Roman"/>
        </w:rPr>
        <w:t>F</w:t>
      </w:r>
      <w:r w:rsidR="00B32373" w:rsidRPr="00BD37A1">
        <w:rPr>
          <w:rFonts w:ascii="Times New Roman" w:hAnsi="Times New Roman" w:cs="Times New Roman"/>
        </w:rPr>
        <w:t>isheries recreational saltwater landings data collection program (LA Creel)</w:t>
      </w:r>
      <w:r w:rsidRPr="004B6668">
        <w:rPr>
          <w:rFonts w:ascii="Times New Roman" w:hAnsi="Times New Roman" w:cs="Times New Roman"/>
        </w:rPr>
        <w:t xml:space="preserve">, and </w:t>
      </w:r>
      <w:r w:rsidR="00B32373" w:rsidRPr="004B6668">
        <w:rPr>
          <w:rFonts w:ascii="Times New Roman" w:hAnsi="Times New Roman" w:cs="Times New Roman"/>
        </w:rPr>
        <w:t xml:space="preserve">the </w:t>
      </w:r>
      <w:r w:rsidR="00B32373" w:rsidRPr="00BD37A1">
        <w:rPr>
          <w:rFonts w:ascii="Times New Roman" w:hAnsi="Times New Roman" w:cs="Times New Roman"/>
        </w:rPr>
        <w:t xml:space="preserve">Texas </w:t>
      </w:r>
      <w:r w:rsidR="004A3A2F" w:rsidRPr="00BD37A1">
        <w:rPr>
          <w:rFonts w:ascii="Times New Roman" w:hAnsi="Times New Roman" w:cs="Times New Roman"/>
        </w:rPr>
        <w:t>P</w:t>
      </w:r>
      <w:r w:rsidR="00B32373" w:rsidRPr="00BD37A1">
        <w:rPr>
          <w:rFonts w:ascii="Times New Roman" w:hAnsi="Times New Roman" w:cs="Times New Roman"/>
        </w:rPr>
        <w:t xml:space="preserve">arks and </w:t>
      </w:r>
      <w:r w:rsidR="004A3A2F" w:rsidRPr="00BD37A1">
        <w:rPr>
          <w:rFonts w:ascii="Times New Roman" w:hAnsi="Times New Roman" w:cs="Times New Roman"/>
        </w:rPr>
        <w:t>W</w:t>
      </w:r>
      <w:r w:rsidR="006C1F0A" w:rsidRPr="00BD37A1">
        <w:rPr>
          <w:rFonts w:ascii="Times New Roman" w:hAnsi="Times New Roman" w:cs="Times New Roman"/>
        </w:rPr>
        <w:t xml:space="preserve">ildlife </w:t>
      </w:r>
      <w:r w:rsidR="004A3A2F" w:rsidRPr="00BD37A1">
        <w:rPr>
          <w:rFonts w:ascii="Times New Roman" w:hAnsi="Times New Roman" w:cs="Times New Roman"/>
        </w:rPr>
        <w:t>D</w:t>
      </w:r>
      <w:r w:rsidR="00B32373" w:rsidRPr="00BD37A1">
        <w:rPr>
          <w:rFonts w:ascii="Times New Roman" w:hAnsi="Times New Roman" w:cs="Times New Roman"/>
        </w:rPr>
        <w:t>epartment (TPWD). In order to get an accurate representation of the population</w:t>
      </w:r>
      <w:r w:rsidR="009F7AAE" w:rsidRPr="00BD37A1">
        <w:rPr>
          <w:rFonts w:ascii="Times New Roman" w:hAnsi="Times New Roman" w:cs="Times New Roman"/>
        </w:rPr>
        <w:t>,</w:t>
      </w:r>
      <w:r w:rsidR="00B32373" w:rsidRPr="00BD37A1">
        <w:rPr>
          <w:rFonts w:ascii="Times New Roman" w:hAnsi="Times New Roman" w:cs="Times New Roman"/>
        </w:rPr>
        <w:t xml:space="preserve"> </w:t>
      </w:r>
      <w:r w:rsidR="00107B3F" w:rsidRPr="00BD37A1">
        <w:rPr>
          <w:rFonts w:ascii="Times New Roman" w:hAnsi="Times New Roman" w:cs="Times New Roman"/>
        </w:rPr>
        <w:t>General R</w:t>
      </w:r>
      <w:r w:rsidR="004E12E2" w:rsidRPr="00BD37A1">
        <w:rPr>
          <w:rFonts w:ascii="Times New Roman" w:hAnsi="Times New Roman" w:cs="Times New Roman"/>
        </w:rPr>
        <w:t>ecreational</w:t>
      </w:r>
      <w:r w:rsidR="00B32373" w:rsidRPr="00BD37A1">
        <w:rPr>
          <w:rFonts w:ascii="Times New Roman" w:hAnsi="Times New Roman" w:cs="Times New Roman"/>
        </w:rPr>
        <w:t xml:space="preserve"> discards</w:t>
      </w:r>
      <w:r w:rsidR="00107B3F" w:rsidRPr="00BD37A1">
        <w:rPr>
          <w:rFonts w:ascii="Times New Roman" w:hAnsi="Times New Roman" w:cs="Times New Roman"/>
        </w:rPr>
        <w:t>,</w:t>
      </w:r>
      <w:r w:rsidR="004E12E2" w:rsidRPr="00BD37A1">
        <w:rPr>
          <w:rFonts w:ascii="Times New Roman" w:hAnsi="Times New Roman" w:cs="Times New Roman"/>
        </w:rPr>
        <w:t xml:space="preserve"> in numbers</w:t>
      </w:r>
      <w:r w:rsidR="00107B3F" w:rsidRPr="00BD37A1">
        <w:rPr>
          <w:rFonts w:ascii="Times New Roman" w:hAnsi="Times New Roman" w:cs="Times New Roman"/>
        </w:rPr>
        <w:t>,</w:t>
      </w:r>
      <w:r w:rsidR="00B32373" w:rsidRPr="00BD37A1">
        <w:rPr>
          <w:rFonts w:ascii="Times New Roman" w:hAnsi="Times New Roman" w:cs="Times New Roman"/>
        </w:rPr>
        <w:t xml:space="preserve"> </w:t>
      </w:r>
      <w:r w:rsidR="004E12E2" w:rsidRPr="00BD37A1">
        <w:rPr>
          <w:rFonts w:ascii="Times New Roman" w:hAnsi="Times New Roman" w:cs="Times New Roman"/>
        </w:rPr>
        <w:t>a</w:t>
      </w:r>
      <w:r w:rsidRPr="004B6668">
        <w:rPr>
          <w:rFonts w:ascii="Times New Roman" w:hAnsi="Times New Roman" w:cs="Times New Roman"/>
        </w:rPr>
        <w:t>re used</w:t>
      </w:r>
      <w:r w:rsidR="00D9043D" w:rsidRPr="004B6668">
        <w:rPr>
          <w:rFonts w:ascii="Times New Roman" w:hAnsi="Times New Roman" w:cs="Times New Roman"/>
        </w:rPr>
        <w:t xml:space="preserve"> in the stock assessment model. Due to changes in regulations</w:t>
      </w:r>
      <w:r w:rsidR="004E12E2" w:rsidRPr="004B6668">
        <w:rPr>
          <w:rFonts w:ascii="Times New Roman" w:hAnsi="Times New Roman" w:cs="Times New Roman"/>
        </w:rPr>
        <w:t xml:space="preserve"> (quotas, season length, etc.)</w:t>
      </w:r>
      <w:r w:rsidR="00D9043D" w:rsidRPr="004B6668">
        <w:rPr>
          <w:rFonts w:ascii="Times New Roman" w:hAnsi="Times New Roman" w:cs="Times New Roman"/>
        </w:rPr>
        <w:t xml:space="preserve">, tracking discards separately for the </w:t>
      </w:r>
      <w:r w:rsidR="00107B3F" w:rsidRPr="004B6668">
        <w:rPr>
          <w:rFonts w:ascii="Times New Roman" w:hAnsi="Times New Roman" w:cs="Times New Roman"/>
        </w:rPr>
        <w:t>recreational fishing components (</w:t>
      </w:r>
      <w:r w:rsidR="00D9043D" w:rsidRPr="004B6668">
        <w:rPr>
          <w:rFonts w:ascii="Times New Roman" w:hAnsi="Times New Roman" w:cs="Times New Roman"/>
        </w:rPr>
        <w:t>private and the for-hire/charter</w:t>
      </w:r>
      <w:r w:rsidR="00107B3F" w:rsidRPr="004B6668">
        <w:rPr>
          <w:rFonts w:ascii="Times New Roman" w:hAnsi="Times New Roman" w:cs="Times New Roman"/>
        </w:rPr>
        <w:t>)</w:t>
      </w:r>
      <w:r w:rsidR="00D9043D" w:rsidRPr="004B6668">
        <w:rPr>
          <w:rFonts w:ascii="Times New Roman" w:hAnsi="Times New Roman" w:cs="Times New Roman"/>
        </w:rPr>
        <w:t>, in both the open and closed season</w:t>
      </w:r>
      <w:r w:rsidR="00107B3F" w:rsidRPr="004B6668">
        <w:rPr>
          <w:rFonts w:ascii="Times New Roman" w:hAnsi="Times New Roman" w:cs="Times New Roman"/>
        </w:rPr>
        <w:t xml:space="preserve"> is </w:t>
      </w:r>
      <w:r w:rsidR="00D9043D" w:rsidRPr="004B6668">
        <w:rPr>
          <w:rFonts w:ascii="Times New Roman" w:hAnsi="Times New Roman" w:cs="Times New Roman"/>
        </w:rPr>
        <w:t xml:space="preserve">necessary. </w:t>
      </w:r>
      <w:r w:rsidR="00BF6E34" w:rsidRPr="004B6668">
        <w:rPr>
          <w:rFonts w:ascii="Times New Roman" w:hAnsi="Times New Roman" w:cs="Times New Roman"/>
        </w:rPr>
        <w:t>Code to reproduce data summaries can be found on GitHub</w:t>
      </w:r>
      <w:r w:rsidR="00444662" w:rsidRPr="004B6668">
        <w:rPr>
          <w:rFonts w:ascii="Times New Roman" w:hAnsi="Times New Roman" w:cs="Times New Roman"/>
        </w:rPr>
        <w:t xml:space="preserve"> (</w:t>
      </w:r>
      <w:r w:rsidR="00DF10F7" w:rsidRPr="004B6668">
        <w:rPr>
          <w:rFonts w:ascii="Times New Roman" w:hAnsi="Times New Roman" w:cs="Times New Roman"/>
        </w:rPr>
        <w:t>Denson 2022</w:t>
      </w:r>
      <w:r w:rsidR="00444662" w:rsidRPr="004B6668">
        <w:rPr>
          <w:rFonts w:ascii="Times New Roman" w:hAnsi="Times New Roman" w:cs="Times New Roman"/>
        </w:rPr>
        <w:t>)</w:t>
      </w:r>
      <w:r w:rsidR="00BF6E34" w:rsidRPr="004B6668">
        <w:rPr>
          <w:rFonts w:ascii="Times New Roman" w:hAnsi="Times New Roman" w:cs="Times New Roman"/>
        </w:rPr>
        <w:t xml:space="preserve">. </w:t>
      </w:r>
      <w:r w:rsidR="00107B3F" w:rsidRPr="004B6668">
        <w:rPr>
          <w:rFonts w:ascii="Times New Roman" w:hAnsi="Times New Roman" w:cs="Times New Roman"/>
        </w:rPr>
        <w:t xml:space="preserve">Partitioned results indicate that the number of discarded </w:t>
      </w:r>
      <w:r w:rsidR="00BD37A1">
        <w:rPr>
          <w:rFonts w:ascii="Times New Roman" w:hAnsi="Times New Roman" w:cs="Times New Roman"/>
        </w:rPr>
        <w:t>r</w:t>
      </w:r>
      <w:r w:rsidR="00107B3F" w:rsidRPr="004B6668">
        <w:rPr>
          <w:rFonts w:ascii="Times New Roman" w:hAnsi="Times New Roman" w:cs="Times New Roman"/>
        </w:rPr>
        <w:t xml:space="preserve">ed </w:t>
      </w:r>
      <w:r w:rsidR="00BD37A1">
        <w:rPr>
          <w:rFonts w:ascii="Times New Roman" w:hAnsi="Times New Roman" w:cs="Times New Roman"/>
        </w:rPr>
        <w:t>s</w:t>
      </w:r>
      <w:r w:rsidR="009F7AAE" w:rsidRPr="004B6668">
        <w:rPr>
          <w:rFonts w:ascii="Times New Roman" w:hAnsi="Times New Roman" w:cs="Times New Roman"/>
        </w:rPr>
        <w:t xml:space="preserve">napper is higher for the private component of the </w:t>
      </w:r>
      <w:r w:rsidR="00593448">
        <w:rPr>
          <w:rFonts w:ascii="Times New Roman" w:hAnsi="Times New Roman" w:cs="Times New Roman"/>
        </w:rPr>
        <w:t xml:space="preserve">General Recreational </w:t>
      </w:r>
      <w:r w:rsidR="009F7AAE" w:rsidRPr="004B6668">
        <w:rPr>
          <w:rFonts w:ascii="Times New Roman" w:hAnsi="Times New Roman" w:cs="Times New Roman"/>
        </w:rPr>
        <w:t xml:space="preserve">fishery compared to the for-hire component. </w:t>
      </w:r>
      <w:r w:rsidR="00D9043D" w:rsidRPr="004B6668">
        <w:rPr>
          <w:rFonts w:ascii="Times New Roman" w:hAnsi="Times New Roman" w:cs="Times New Roman"/>
        </w:rPr>
        <w:t>When taking the three stock ID regions (east, central and west) into consideration, the Central Stock ID region account</w:t>
      </w:r>
      <w:r w:rsidR="00593448">
        <w:rPr>
          <w:rFonts w:ascii="Times New Roman" w:hAnsi="Times New Roman" w:cs="Times New Roman"/>
        </w:rPr>
        <w:t>s for the largest portion of</w:t>
      </w:r>
      <w:r w:rsidR="00D9043D" w:rsidRPr="004B6668">
        <w:rPr>
          <w:rFonts w:ascii="Times New Roman" w:hAnsi="Times New Roman" w:cs="Times New Roman"/>
        </w:rPr>
        <w:t xml:space="preserve"> discards annually</w:t>
      </w:r>
      <w:r w:rsidR="00593448">
        <w:rPr>
          <w:rFonts w:ascii="Times New Roman" w:hAnsi="Times New Roman" w:cs="Times New Roman"/>
        </w:rPr>
        <w:t>,</w:t>
      </w:r>
      <w:r w:rsidR="00BD37A1">
        <w:rPr>
          <w:rFonts w:ascii="Times New Roman" w:hAnsi="Times New Roman" w:cs="Times New Roman"/>
        </w:rPr>
        <w:t xml:space="preserve"> regardless of the fishery component</w:t>
      </w:r>
      <w:r w:rsidR="009F7AAE" w:rsidRPr="004B6668">
        <w:rPr>
          <w:rFonts w:ascii="Times New Roman" w:hAnsi="Times New Roman" w:cs="Times New Roman"/>
        </w:rPr>
        <w:t>.</w:t>
      </w:r>
    </w:p>
    <w:p w:rsidR="00AB1F9D" w:rsidRPr="00916459" w:rsidRDefault="00AB1F9D" w:rsidP="00784DFF">
      <w:pPr>
        <w:pStyle w:val="Heading1"/>
        <w:rPr>
          <w:rFonts w:ascii="Times New Roman" w:hAnsi="Times New Roman" w:cs="Times New Roman"/>
        </w:rPr>
      </w:pPr>
      <w:r w:rsidRPr="00916459">
        <w:rPr>
          <w:rFonts w:ascii="Times New Roman" w:hAnsi="Times New Roman" w:cs="Times New Roman"/>
        </w:rPr>
        <w:t>Intro</w:t>
      </w:r>
      <w:r w:rsidR="00784DFF" w:rsidRPr="00916459">
        <w:rPr>
          <w:rFonts w:ascii="Times New Roman" w:hAnsi="Times New Roman" w:cs="Times New Roman"/>
        </w:rPr>
        <w:t>duction</w:t>
      </w:r>
    </w:p>
    <w:p w:rsidR="00644618" w:rsidRPr="004B6668" w:rsidRDefault="000462C5" w:rsidP="00644618">
      <w:pPr>
        <w:rPr>
          <w:rFonts w:ascii="Times New Roman" w:hAnsi="Times New Roman" w:cs="Times New Roman"/>
        </w:rPr>
      </w:pPr>
      <w:r w:rsidRPr="00BD37A1">
        <w:rPr>
          <w:rFonts w:ascii="Times New Roman" w:hAnsi="Times New Roman" w:cs="Times New Roman"/>
        </w:rPr>
        <w:t>The Office of Science and Technology (OST) collects catch and effort data through their Marine Recreational Information Program (MRIP</w:t>
      </w:r>
      <w:r w:rsidR="00641649" w:rsidRPr="00BD37A1">
        <w:rPr>
          <w:rFonts w:ascii="Times New Roman" w:hAnsi="Times New Roman" w:cs="Times New Roman"/>
        </w:rPr>
        <w:t>) (</w:t>
      </w:r>
      <w:r w:rsidR="007C15E0" w:rsidRPr="00BD37A1">
        <w:rPr>
          <w:rFonts w:ascii="Times New Roman" w:hAnsi="Times New Roman" w:cs="Times New Roman"/>
        </w:rPr>
        <w:t>SEDAR68-DW-13)</w:t>
      </w:r>
      <w:r w:rsidRPr="00BD37A1">
        <w:rPr>
          <w:rFonts w:ascii="Times New Roman" w:hAnsi="Times New Roman" w:cs="Times New Roman"/>
        </w:rPr>
        <w:t xml:space="preserve">. </w:t>
      </w:r>
      <w:r w:rsidR="00091770" w:rsidRPr="00BD37A1">
        <w:rPr>
          <w:rFonts w:ascii="Times New Roman" w:hAnsi="Times New Roman" w:cs="Times New Roman"/>
        </w:rPr>
        <w:t>This a</w:t>
      </w:r>
      <w:r w:rsidRPr="00BD37A1">
        <w:rPr>
          <w:rFonts w:ascii="Times New Roman" w:hAnsi="Times New Roman" w:cs="Times New Roman"/>
        </w:rPr>
        <w:t xml:space="preserve">long with the surveys from </w:t>
      </w:r>
      <w:r w:rsidR="004A3A2F" w:rsidRPr="00BD37A1">
        <w:rPr>
          <w:rFonts w:ascii="Times New Roman" w:hAnsi="Times New Roman" w:cs="Times New Roman"/>
        </w:rPr>
        <w:t xml:space="preserve">the </w:t>
      </w:r>
      <w:r w:rsidR="00641649" w:rsidRPr="00BD37A1">
        <w:rPr>
          <w:rFonts w:ascii="Times New Roman" w:hAnsi="Times New Roman" w:cs="Times New Roman"/>
        </w:rPr>
        <w:t>Louisiana</w:t>
      </w:r>
      <w:r w:rsidRPr="00BD37A1">
        <w:rPr>
          <w:rFonts w:ascii="Times New Roman" w:hAnsi="Times New Roman" w:cs="Times New Roman"/>
        </w:rPr>
        <w:t xml:space="preserve"> </w:t>
      </w:r>
      <w:r w:rsidR="004A3A2F" w:rsidRPr="00BD37A1">
        <w:rPr>
          <w:rFonts w:ascii="Times New Roman" w:hAnsi="Times New Roman" w:cs="Times New Roman"/>
        </w:rPr>
        <w:t>D</w:t>
      </w:r>
      <w:r w:rsidRPr="00BD37A1">
        <w:rPr>
          <w:rFonts w:ascii="Times New Roman" w:hAnsi="Times New Roman" w:cs="Times New Roman"/>
        </w:rPr>
        <w:t xml:space="preserve">epartment of </w:t>
      </w:r>
      <w:r w:rsidR="004A3A2F" w:rsidRPr="00BD37A1">
        <w:rPr>
          <w:rFonts w:ascii="Times New Roman" w:hAnsi="Times New Roman" w:cs="Times New Roman"/>
        </w:rPr>
        <w:t>W</w:t>
      </w:r>
      <w:r w:rsidRPr="00BD37A1">
        <w:rPr>
          <w:rFonts w:ascii="Times New Roman" w:hAnsi="Times New Roman" w:cs="Times New Roman"/>
        </w:rPr>
        <w:t xml:space="preserve">ildlife and </w:t>
      </w:r>
      <w:r w:rsidR="004A3A2F" w:rsidRPr="00BD37A1">
        <w:rPr>
          <w:rFonts w:ascii="Times New Roman" w:hAnsi="Times New Roman" w:cs="Times New Roman"/>
        </w:rPr>
        <w:t>F</w:t>
      </w:r>
      <w:r w:rsidRPr="00BD37A1">
        <w:rPr>
          <w:rFonts w:ascii="Times New Roman" w:hAnsi="Times New Roman" w:cs="Times New Roman"/>
        </w:rPr>
        <w:t>isheries recreational saltwater landings data collection program (LA Creel)</w:t>
      </w:r>
      <w:r w:rsidR="008743DF" w:rsidRPr="00BD37A1">
        <w:rPr>
          <w:rFonts w:ascii="Times New Roman" w:hAnsi="Times New Roman" w:cs="Times New Roman"/>
        </w:rPr>
        <w:t xml:space="preserve"> (SEDAR74-DW-04)</w:t>
      </w:r>
      <w:r w:rsidRPr="00BD37A1">
        <w:rPr>
          <w:rFonts w:ascii="Times New Roman" w:hAnsi="Times New Roman" w:cs="Times New Roman"/>
        </w:rPr>
        <w:t>,</w:t>
      </w:r>
      <w:r w:rsidR="001C02F3" w:rsidRPr="00BD37A1">
        <w:rPr>
          <w:rFonts w:ascii="Times New Roman" w:hAnsi="Times New Roman" w:cs="Times New Roman"/>
        </w:rPr>
        <w:t xml:space="preserve"> and</w:t>
      </w:r>
      <w:r w:rsidRPr="00BD37A1">
        <w:rPr>
          <w:rFonts w:ascii="Times New Roman" w:hAnsi="Times New Roman" w:cs="Times New Roman"/>
        </w:rPr>
        <w:t xml:space="preserve"> the Texas </w:t>
      </w:r>
      <w:r w:rsidR="004A3A2F" w:rsidRPr="00BD37A1">
        <w:rPr>
          <w:rFonts w:ascii="Times New Roman" w:hAnsi="Times New Roman" w:cs="Times New Roman"/>
        </w:rPr>
        <w:t>P</w:t>
      </w:r>
      <w:r w:rsidRPr="00BD37A1">
        <w:rPr>
          <w:rFonts w:ascii="Times New Roman" w:hAnsi="Times New Roman" w:cs="Times New Roman"/>
        </w:rPr>
        <w:t xml:space="preserve">arks and </w:t>
      </w:r>
      <w:r w:rsidR="004A3A2F" w:rsidRPr="00BD37A1">
        <w:rPr>
          <w:rFonts w:ascii="Times New Roman" w:hAnsi="Times New Roman" w:cs="Times New Roman"/>
        </w:rPr>
        <w:t>W</w:t>
      </w:r>
      <w:r w:rsidRPr="00BD37A1">
        <w:rPr>
          <w:rFonts w:ascii="Times New Roman" w:hAnsi="Times New Roman" w:cs="Times New Roman"/>
        </w:rPr>
        <w:t xml:space="preserve">ildlife </w:t>
      </w:r>
      <w:r w:rsidR="004A3A2F" w:rsidRPr="00BD37A1">
        <w:rPr>
          <w:rFonts w:ascii="Times New Roman" w:hAnsi="Times New Roman" w:cs="Times New Roman"/>
        </w:rPr>
        <w:t>D</w:t>
      </w:r>
      <w:r w:rsidRPr="00BD37A1">
        <w:rPr>
          <w:rFonts w:ascii="Times New Roman" w:hAnsi="Times New Roman" w:cs="Times New Roman"/>
        </w:rPr>
        <w:t>epartme</w:t>
      </w:r>
      <w:r w:rsidR="001C02F3" w:rsidRPr="00BD37A1">
        <w:rPr>
          <w:rFonts w:ascii="Times New Roman" w:hAnsi="Times New Roman" w:cs="Times New Roman"/>
        </w:rPr>
        <w:t>nt (TPWD)</w:t>
      </w:r>
      <w:r w:rsidR="007C15E0" w:rsidRPr="00BD37A1">
        <w:rPr>
          <w:rFonts w:ascii="Times New Roman" w:hAnsi="Times New Roman" w:cs="Times New Roman"/>
        </w:rPr>
        <w:t xml:space="preserve"> (SEDAR70-WP-03) are combined to form the general recreational survey data for red snapper in the </w:t>
      </w:r>
      <w:r w:rsidR="00641649" w:rsidRPr="00BD37A1">
        <w:rPr>
          <w:rFonts w:ascii="Times New Roman" w:hAnsi="Times New Roman" w:cs="Times New Roman"/>
        </w:rPr>
        <w:t>Gulf of Mexico</w:t>
      </w:r>
      <w:r w:rsidR="007C15E0" w:rsidRPr="00BD37A1">
        <w:rPr>
          <w:rFonts w:ascii="Times New Roman" w:hAnsi="Times New Roman" w:cs="Times New Roman"/>
        </w:rPr>
        <w:t xml:space="preserve"> (SEDAR74-DW-01)</w:t>
      </w:r>
      <w:r w:rsidR="001C02F3" w:rsidRPr="00BD37A1">
        <w:rPr>
          <w:rFonts w:ascii="Times New Roman" w:hAnsi="Times New Roman" w:cs="Times New Roman"/>
        </w:rPr>
        <w:t xml:space="preserve">. </w:t>
      </w:r>
      <w:r w:rsidR="00F7171A" w:rsidRPr="004B6668">
        <w:rPr>
          <w:rFonts w:ascii="Times New Roman" w:hAnsi="Times New Roman" w:cs="Times New Roman"/>
        </w:rPr>
        <w:t xml:space="preserve">MRIP </w:t>
      </w:r>
      <w:r w:rsidR="00D9559E" w:rsidRPr="004B6668">
        <w:rPr>
          <w:rFonts w:ascii="Times New Roman" w:hAnsi="Times New Roman" w:cs="Times New Roman"/>
        </w:rPr>
        <w:t>s</w:t>
      </w:r>
      <w:r w:rsidR="00F7171A" w:rsidRPr="004B6668">
        <w:rPr>
          <w:rFonts w:ascii="Times New Roman" w:hAnsi="Times New Roman" w:cs="Times New Roman"/>
        </w:rPr>
        <w:t xml:space="preserve">urvey data </w:t>
      </w:r>
      <w:r w:rsidR="00893AB4" w:rsidRPr="004B6668">
        <w:rPr>
          <w:rFonts w:ascii="Times New Roman" w:hAnsi="Times New Roman" w:cs="Times New Roman"/>
        </w:rPr>
        <w:t>begins in</w:t>
      </w:r>
      <w:r w:rsidR="00F7171A" w:rsidRPr="004B6668">
        <w:rPr>
          <w:rFonts w:ascii="Times New Roman" w:hAnsi="Times New Roman" w:cs="Times New Roman"/>
        </w:rPr>
        <w:t xml:space="preserve"> 1981 and</w:t>
      </w:r>
      <w:r w:rsidR="00641649" w:rsidRPr="004B6668">
        <w:rPr>
          <w:rFonts w:ascii="Times New Roman" w:hAnsi="Times New Roman" w:cs="Times New Roman"/>
        </w:rPr>
        <w:t xml:space="preserve"> </w:t>
      </w:r>
      <w:r w:rsidR="00F7171A" w:rsidRPr="004B6668">
        <w:rPr>
          <w:rFonts w:ascii="Times New Roman" w:hAnsi="Times New Roman" w:cs="Times New Roman"/>
        </w:rPr>
        <w:t xml:space="preserve">covers </w:t>
      </w:r>
      <w:r w:rsidR="00641649" w:rsidRPr="004B6668">
        <w:rPr>
          <w:rFonts w:ascii="Times New Roman" w:hAnsi="Times New Roman" w:cs="Times New Roman"/>
        </w:rPr>
        <w:t>multiple</w:t>
      </w:r>
      <w:r w:rsidR="00644618" w:rsidRPr="004B6668">
        <w:rPr>
          <w:rFonts w:ascii="Times New Roman" w:hAnsi="Times New Roman" w:cs="Times New Roman"/>
        </w:rPr>
        <w:t xml:space="preserve"> recreational</w:t>
      </w:r>
      <w:r w:rsidR="00641649" w:rsidRPr="004B6668">
        <w:rPr>
          <w:rFonts w:ascii="Times New Roman" w:hAnsi="Times New Roman" w:cs="Times New Roman"/>
        </w:rPr>
        <w:t xml:space="preserve"> fishing </w:t>
      </w:r>
      <w:r w:rsidR="00644618" w:rsidRPr="004B6668">
        <w:rPr>
          <w:rFonts w:ascii="Times New Roman" w:hAnsi="Times New Roman" w:cs="Times New Roman"/>
        </w:rPr>
        <w:t>components</w:t>
      </w:r>
      <w:r w:rsidR="00641649" w:rsidRPr="004B6668">
        <w:rPr>
          <w:rFonts w:ascii="Times New Roman" w:hAnsi="Times New Roman" w:cs="Times New Roman"/>
        </w:rPr>
        <w:t xml:space="preserve"> (private, for-hire/charter</w:t>
      </w:r>
      <w:r w:rsidR="009F7AAE" w:rsidRPr="004B6668">
        <w:rPr>
          <w:rFonts w:ascii="Times New Roman" w:hAnsi="Times New Roman" w:cs="Times New Roman"/>
        </w:rPr>
        <w:t xml:space="preserve">, </w:t>
      </w:r>
      <w:r w:rsidR="00065408" w:rsidRPr="004B6668">
        <w:rPr>
          <w:rFonts w:ascii="Times New Roman" w:hAnsi="Times New Roman" w:cs="Times New Roman"/>
        </w:rPr>
        <w:t>head boat</w:t>
      </w:r>
      <w:r w:rsidR="009F7AAE" w:rsidRPr="004B6668">
        <w:rPr>
          <w:rFonts w:ascii="Times New Roman" w:hAnsi="Times New Roman" w:cs="Times New Roman"/>
        </w:rPr>
        <w:t xml:space="preserve"> 1981-1985</w:t>
      </w:r>
      <w:r w:rsidR="00F7171A" w:rsidRPr="004B6668">
        <w:rPr>
          <w:rFonts w:ascii="Times New Roman" w:hAnsi="Times New Roman" w:cs="Times New Roman"/>
        </w:rPr>
        <w:t>).</w:t>
      </w:r>
      <w:r w:rsidR="00641649" w:rsidRPr="004B6668">
        <w:rPr>
          <w:rFonts w:ascii="Times New Roman" w:hAnsi="Times New Roman" w:cs="Times New Roman"/>
        </w:rPr>
        <w:t xml:space="preserve"> </w:t>
      </w:r>
      <w:r w:rsidR="00091770" w:rsidRPr="00BD37A1">
        <w:rPr>
          <w:rFonts w:ascii="Times New Roman" w:hAnsi="Times New Roman" w:cs="Times New Roman"/>
        </w:rPr>
        <w:t>T</w:t>
      </w:r>
      <w:r w:rsidR="00641649" w:rsidRPr="00BD37A1">
        <w:rPr>
          <w:rFonts w:ascii="Times New Roman" w:hAnsi="Times New Roman" w:cs="Times New Roman"/>
        </w:rPr>
        <w:t xml:space="preserve">he information </w:t>
      </w:r>
      <w:r w:rsidR="007C15E0" w:rsidRPr="00BD37A1">
        <w:rPr>
          <w:rFonts w:ascii="Times New Roman" w:hAnsi="Times New Roman" w:cs="Times New Roman"/>
        </w:rPr>
        <w:t xml:space="preserve">recorded </w:t>
      </w:r>
      <w:r w:rsidR="00091770" w:rsidRPr="00BD37A1">
        <w:rPr>
          <w:rFonts w:ascii="Times New Roman" w:hAnsi="Times New Roman" w:cs="Times New Roman"/>
        </w:rPr>
        <w:t>by MRIP includes</w:t>
      </w:r>
      <w:r w:rsidR="007C15E0" w:rsidRPr="00BD37A1">
        <w:rPr>
          <w:rFonts w:ascii="Times New Roman" w:hAnsi="Times New Roman" w:cs="Times New Roman"/>
        </w:rPr>
        <w:t xml:space="preserve"> landings (AB1)</w:t>
      </w:r>
      <w:r w:rsidRPr="00BD37A1">
        <w:rPr>
          <w:rFonts w:ascii="Times New Roman" w:hAnsi="Times New Roman" w:cs="Times New Roman"/>
        </w:rPr>
        <w:t xml:space="preserve"> </w:t>
      </w:r>
      <w:r w:rsidR="007C15E0" w:rsidRPr="00BD37A1">
        <w:rPr>
          <w:rFonts w:ascii="Times New Roman" w:hAnsi="Times New Roman" w:cs="Times New Roman"/>
        </w:rPr>
        <w:t>and discards</w:t>
      </w:r>
      <w:r w:rsidR="00857AC3" w:rsidRPr="00BD37A1">
        <w:rPr>
          <w:rFonts w:ascii="Times New Roman" w:hAnsi="Times New Roman" w:cs="Times New Roman"/>
        </w:rPr>
        <w:t xml:space="preserve"> (B</w:t>
      </w:r>
      <w:r w:rsidR="009F7AAE" w:rsidRPr="00BD37A1">
        <w:rPr>
          <w:rFonts w:ascii="Times New Roman" w:hAnsi="Times New Roman" w:cs="Times New Roman"/>
        </w:rPr>
        <w:t>2) which are</w:t>
      </w:r>
      <w:r w:rsidR="00641649" w:rsidRPr="00BD37A1">
        <w:rPr>
          <w:rFonts w:ascii="Times New Roman" w:hAnsi="Times New Roman" w:cs="Times New Roman"/>
        </w:rPr>
        <w:t xml:space="preserve"> estimated by the S</w:t>
      </w:r>
      <w:r w:rsidR="00644618" w:rsidRPr="00BD37A1">
        <w:rPr>
          <w:rFonts w:ascii="Times New Roman" w:hAnsi="Times New Roman" w:cs="Times New Roman"/>
        </w:rPr>
        <w:t>outheast Fisheries Science Center (S</w:t>
      </w:r>
      <w:r w:rsidR="00641649" w:rsidRPr="00BD37A1">
        <w:rPr>
          <w:rFonts w:ascii="Times New Roman" w:hAnsi="Times New Roman" w:cs="Times New Roman"/>
        </w:rPr>
        <w:t>EFSC</w:t>
      </w:r>
      <w:r w:rsidR="00644618" w:rsidRPr="00BD37A1">
        <w:rPr>
          <w:rFonts w:ascii="Times New Roman" w:hAnsi="Times New Roman" w:cs="Times New Roman"/>
        </w:rPr>
        <w:t xml:space="preserve">) </w:t>
      </w:r>
      <w:r w:rsidR="00641649" w:rsidRPr="00BD37A1">
        <w:rPr>
          <w:rFonts w:ascii="Times New Roman" w:hAnsi="Times New Roman" w:cs="Times New Roman"/>
        </w:rPr>
        <w:t>using SEDAR best practices (SEDAR-PW-07).</w:t>
      </w:r>
      <w:r w:rsidR="00644618" w:rsidRPr="00BD37A1">
        <w:rPr>
          <w:rFonts w:ascii="Times New Roman" w:hAnsi="Times New Roman" w:cs="Times New Roman"/>
        </w:rPr>
        <w:t xml:space="preserve"> In order to account for the contribution of discards to the Gulf of Mexico red snapper population </w:t>
      </w:r>
      <w:r w:rsidR="00107B3F" w:rsidRPr="00BD37A1">
        <w:rPr>
          <w:rFonts w:ascii="Times New Roman" w:hAnsi="Times New Roman" w:cs="Times New Roman"/>
        </w:rPr>
        <w:t>General R</w:t>
      </w:r>
      <w:r w:rsidR="00644618" w:rsidRPr="00BD37A1">
        <w:rPr>
          <w:rFonts w:ascii="Times New Roman" w:hAnsi="Times New Roman" w:cs="Times New Roman"/>
        </w:rPr>
        <w:t>ecreational discards</w:t>
      </w:r>
      <w:r w:rsidR="00107B3F" w:rsidRPr="00BD37A1">
        <w:rPr>
          <w:rFonts w:ascii="Times New Roman" w:hAnsi="Times New Roman" w:cs="Times New Roman"/>
        </w:rPr>
        <w:t>,</w:t>
      </w:r>
      <w:r w:rsidR="00644618" w:rsidRPr="00BD37A1">
        <w:rPr>
          <w:rFonts w:ascii="Times New Roman" w:hAnsi="Times New Roman" w:cs="Times New Roman"/>
        </w:rPr>
        <w:t xml:space="preserve"> in numbers</w:t>
      </w:r>
      <w:r w:rsidR="00107B3F" w:rsidRPr="00BD37A1">
        <w:rPr>
          <w:rFonts w:ascii="Times New Roman" w:hAnsi="Times New Roman" w:cs="Times New Roman"/>
        </w:rPr>
        <w:t>,</w:t>
      </w:r>
      <w:r w:rsidR="00644618" w:rsidRPr="00BD37A1">
        <w:rPr>
          <w:rFonts w:ascii="Times New Roman" w:hAnsi="Times New Roman" w:cs="Times New Roman"/>
        </w:rPr>
        <w:t xml:space="preserve"> are summarized annually by stock ID region</w:t>
      </w:r>
      <w:r w:rsidR="00107B3F" w:rsidRPr="00BD37A1">
        <w:rPr>
          <w:rFonts w:ascii="Times New Roman" w:hAnsi="Times New Roman" w:cs="Times New Roman"/>
        </w:rPr>
        <w:t>,</w:t>
      </w:r>
      <w:r w:rsidR="00644618" w:rsidRPr="00BD37A1">
        <w:rPr>
          <w:rFonts w:ascii="Times New Roman" w:hAnsi="Times New Roman" w:cs="Times New Roman"/>
        </w:rPr>
        <w:t xml:space="preserve"> f</w:t>
      </w:r>
      <w:r w:rsidR="00107B3F" w:rsidRPr="00BD37A1">
        <w:rPr>
          <w:rFonts w:ascii="Times New Roman" w:hAnsi="Times New Roman" w:cs="Times New Roman"/>
        </w:rPr>
        <w:t>or each season (open or closed), and</w:t>
      </w:r>
      <w:r w:rsidR="00644618" w:rsidRPr="00BD37A1">
        <w:rPr>
          <w:rFonts w:ascii="Times New Roman" w:hAnsi="Times New Roman" w:cs="Times New Roman"/>
        </w:rPr>
        <w:t xml:space="preserve"> recreational fishing component. </w:t>
      </w:r>
    </w:p>
    <w:p w:rsidR="00644618" w:rsidRPr="00BD37A1" w:rsidRDefault="00593448" w:rsidP="00644618">
      <w:pPr>
        <w:rPr>
          <w:rFonts w:ascii="Times New Roman" w:hAnsi="Times New Roman" w:cs="Times New Roman"/>
        </w:rPr>
      </w:pPr>
      <w:r>
        <w:rPr>
          <w:rFonts w:ascii="Times New Roman" w:hAnsi="Times New Roman" w:cs="Times New Roman"/>
        </w:rPr>
        <w:t>General R</w:t>
      </w:r>
      <w:r w:rsidR="005B29F9" w:rsidRPr="00BD37A1">
        <w:rPr>
          <w:rFonts w:ascii="Times New Roman" w:hAnsi="Times New Roman" w:cs="Times New Roman"/>
        </w:rPr>
        <w:t xml:space="preserve">ecreational discards are </w:t>
      </w:r>
      <w:r w:rsidR="00644618" w:rsidRPr="00BD37A1">
        <w:rPr>
          <w:rFonts w:ascii="Times New Roman" w:hAnsi="Times New Roman" w:cs="Times New Roman"/>
        </w:rPr>
        <w:t xml:space="preserve">initially </w:t>
      </w:r>
      <w:r w:rsidR="005B29F9" w:rsidRPr="00BD37A1">
        <w:rPr>
          <w:rFonts w:ascii="Times New Roman" w:hAnsi="Times New Roman" w:cs="Times New Roman"/>
        </w:rPr>
        <w:t>calculated by mode, wave and season (open or closed), but</w:t>
      </w:r>
      <w:r w:rsidR="007055B7" w:rsidRPr="00BD37A1">
        <w:rPr>
          <w:rFonts w:ascii="Times New Roman" w:hAnsi="Times New Roman" w:cs="Times New Roman"/>
        </w:rPr>
        <w:t xml:space="preserve"> </w:t>
      </w:r>
      <w:r w:rsidR="005B29F9" w:rsidRPr="00BD37A1">
        <w:rPr>
          <w:rFonts w:ascii="Times New Roman" w:hAnsi="Times New Roman" w:cs="Times New Roman"/>
        </w:rPr>
        <w:t>if the season closes within a given wave the reported discards are not adjusted accordingly (i.e.,</w:t>
      </w:r>
      <w:r w:rsidR="007055B7" w:rsidRPr="00BD37A1">
        <w:rPr>
          <w:rFonts w:ascii="Times New Roman" w:hAnsi="Times New Roman" w:cs="Times New Roman"/>
        </w:rPr>
        <w:t xml:space="preserve"> </w:t>
      </w:r>
      <w:r w:rsidR="005B29F9" w:rsidRPr="00BD37A1">
        <w:rPr>
          <w:rFonts w:ascii="Times New Roman" w:hAnsi="Times New Roman" w:cs="Times New Roman"/>
        </w:rPr>
        <w:t xml:space="preserve">they are </w:t>
      </w:r>
      <w:r w:rsidR="005B29F9" w:rsidRPr="00BD37A1">
        <w:rPr>
          <w:rFonts w:ascii="Times New Roman" w:hAnsi="Times New Roman" w:cs="Times New Roman"/>
        </w:rPr>
        <w:lastRenderedPageBreak/>
        <w:t>assigned to the season that corresponds to the beginning of the wave)</w:t>
      </w:r>
      <w:r w:rsidR="00644618" w:rsidRPr="00BD37A1">
        <w:rPr>
          <w:rFonts w:ascii="Times New Roman" w:hAnsi="Times New Roman" w:cs="Times New Roman"/>
        </w:rPr>
        <w:t xml:space="preserve"> (SEDAR74-DW-01)</w:t>
      </w:r>
      <w:r w:rsidR="005B29F9" w:rsidRPr="00BD37A1">
        <w:rPr>
          <w:rFonts w:ascii="Times New Roman" w:hAnsi="Times New Roman" w:cs="Times New Roman"/>
        </w:rPr>
        <w:t xml:space="preserve">. </w:t>
      </w:r>
      <w:r w:rsidR="005B29F9" w:rsidRPr="004B6668">
        <w:rPr>
          <w:rFonts w:ascii="Times New Roman" w:hAnsi="Times New Roman" w:cs="Times New Roman"/>
        </w:rPr>
        <w:t xml:space="preserve"> </w:t>
      </w:r>
      <w:r w:rsidR="00E86962" w:rsidRPr="00BD37A1">
        <w:rPr>
          <w:rFonts w:ascii="Times New Roman" w:hAnsi="Times New Roman" w:cs="Times New Roman"/>
        </w:rPr>
        <w:t>Therefore,</w:t>
      </w:r>
      <w:r w:rsidR="005B29F9" w:rsidRPr="00BD37A1">
        <w:rPr>
          <w:rFonts w:ascii="Times New Roman" w:hAnsi="Times New Roman" w:cs="Times New Roman"/>
        </w:rPr>
        <w:t xml:space="preserve"> </w:t>
      </w:r>
      <w:r w:rsidR="00E86962" w:rsidRPr="00BD37A1">
        <w:rPr>
          <w:rFonts w:ascii="Times New Roman" w:hAnsi="Times New Roman" w:cs="Times New Roman"/>
        </w:rPr>
        <w:t>discards occurring within a wave where the recreational fishing season was initially open but</w:t>
      </w:r>
      <w:r w:rsidR="005B29F9" w:rsidRPr="00BD37A1">
        <w:rPr>
          <w:rFonts w:ascii="Times New Roman" w:hAnsi="Times New Roman" w:cs="Times New Roman"/>
        </w:rPr>
        <w:t xml:space="preserve"> </w:t>
      </w:r>
      <w:r w:rsidR="00E86962" w:rsidRPr="00BD37A1">
        <w:rPr>
          <w:rFonts w:ascii="Times New Roman" w:hAnsi="Times New Roman" w:cs="Times New Roman"/>
        </w:rPr>
        <w:t>subsequently closed require additional partitioning to prorate discards adequately between open</w:t>
      </w:r>
      <w:r w:rsidR="005B29F9" w:rsidRPr="00BD37A1">
        <w:rPr>
          <w:rFonts w:ascii="Times New Roman" w:hAnsi="Times New Roman" w:cs="Times New Roman"/>
        </w:rPr>
        <w:t xml:space="preserve"> </w:t>
      </w:r>
      <w:r w:rsidR="00E86962" w:rsidRPr="00BD37A1">
        <w:rPr>
          <w:rFonts w:ascii="Times New Roman" w:hAnsi="Times New Roman" w:cs="Times New Roman"/>
        </w:rPr>
        <w:t>and closed seasons. The process involves calculating the length of the open season</w:t>
      </w:r>
      <w:r w:rsidR="005B29F9" w:rsidRPr="00BD37A1">
        <w:rPr>
          <w:rFonts w:ascii="Times New Roman" w:hAnsi="Times New Roman" w:cs="Times New Roman"/>
        </w:rPr>
        <w:t xml:space="preserve"> </w:t>
      </w:r>
      <w:r w:rsidR="00E86962" w:rsidRPr="00BD37A1">
        <w:rPr>
          <w:rFonts w:ascii="Times New Roman" w:hAnsi="Times New Roman" w:cs="Times New Roman"/>
        </w:rPr>
        <w:t>(based on exact season closure dates) for any wave during which a closure occurred and</w:t>
      </w:r>
      <w:r w:rsidR="005B29F9" w:rsidRPr="00BD37A1">
        <w:rPr>
          <w:rFonts w:ascii="Times New Roman" w:hAnsi="Times New Roman" w:cs="Times New Roman"/>
        </w:rPr>
        <w:t xml:space="preserve"> </w:t>
      </w:r>
      <w:r w:rsidR="00E86962" w:rsidRPr="00BD37A1">
        <w:rPr>
          <w:rFonts w:ascii="Times New Roman" w:hAnsi="Times New Roman" w:cs="Times New Roman"/>
        </w:rPr>
        <w:t>prorating the discards for that wave between open and closed seasons based on the proportion of</w:t>
      </w:r>
      <w:r w:rsidR="005B29F9" w:rsidRPr="00BD37A1">
        <w:rPr>
          <w:rFonts w:ascii="Times New Roman" w:hAnsi="Times New Roman" w:cs="Times New Roman"/>
        </w:rPr>
        <w:t xml:space="preserve"> </w:t>
      </w:r>
      <w:r w:rsidR="00E86962" w:rsidRPr="00BD37A1">
        <w:rPr>
          <w:rFonts w:ascii="Times New Roman" w:hAnsi="Times New Roman" w:cs="Times New Roman"/>
        </w:rPr>
        <w:t>the wave that the season was open or closed. Discards are then summed for each season in a</w:t>
      </w:r>
      <w:r w:rsidR="005B29F9" w:rsidRPr="00BD37A1">
        <w:rPr>
          <w:rFonts w:ascii="Times New Roman" w:hAnsi="Times New Roman" w:cs="Times New Roman"/>
        </w:rPr>
        <w:t xml:space="preserve"> </w:t>
      </w:r>
      <w:r w:rsidR="00E86962" w:rsidRPr="00BD37A1">
        <w:rPr>
          <w:rFonts w:ascii="Times New Roman" w:hAnsi="Times New Roman" w:cs="Times New Roman"/>
        </w:rPr>
        <w:t xml:space="preserve">given year to provide the total open and closed season discards for that year. </w:t>
      </w:r>
      <w:r w:rsidR="005B29F9" w:rsidRPr="00BD37A1">
        <w:rPr>
          <w:rFonts w:ascii="Times New Roman" w:hAnsi="Times New Roman" w:cs="Times New Roman"/>
        </w:rPr>
        <w:t xml:space="preserve">These calculations </w:t>
      </w:r>
      <w:r w:rsidR="00000BE3" w:rsidRPr="00BD37A1">
        <w:rPr>
          <w:rFonts w:ascii="Times New Roman" w:hAnsi="Times New Roman" w:cs="Times New Roman"/>
        </w:rPr>
        <w:t xml:space="preserve">are necessary </w:t>
      </w:r>
      <w:r w:rsidR="006B7AE7" w:rsidRPr="00BD37A1">
        <w:rPr>
          <w:rFonts w:ascii="Times New Roman" w:hAnsi="Times New Roman" w:cs="Times New Roman"/>
        </w:rPr>
        <w:t>from 1997 on</w:t>
      </w:r>
      <w:r w:rsidR="005B29F9" w:rsidRPr="00BD37A1">
        <w:rPr>
          <w:rFonts w:ascii="Times New Roman" w:hAnsi="Times New Roman" w:cs="Times New Roman"/>
        </w:rPr>
        <w:t>, because prior to this the recreational season lasted year round.</w:t>
      </w:r>
      <w:r w:rsidR="0031613F" w:rsidRPr="00BD37A1">
        <w:rPr>
          <w:rFonts w:ascii="Times New Roman" w:hAnsi="Times New Roman" w:cs="Times New Roman"/>
        </w:rPr>
        <w:t xml:space="preserve"> </w:t>
      </w:r>
    </w:p>
    <w:p w:rsidR="003E7D58" w:rsidRPr="004B6668" w:rsidRDefault="004F4114" w:rsidP="00916459">
      <w:pPr>
        <w:rPr>
          <w:rFonts w:ascii="Times New Roman" w:hAnsi="Times New Roman" w:cs="Times New Roman"/>
        </w:rPr>
      </w:pPr>
      <w:r w:rsidRPr="00BD37A1">
        <w:rPr>
          <w:rFonts w:ascii="Times New Roman" w:hAnsi="Times New Roman" w:cs="Times New Roman"/>
        </w:rPr>
        <w:t>In 2013</w:t>
      </w:r>
      <w:r w:rsidR="00CD0C12" w:rsidRPr="00BD37A1">
        <w:rPr>
          <w:rFonts w:ascii="Times New Roman" w:hAnsi="Times New Roman" w:cs="Times New Roman"/>
        </w:rPr>
        <w:t>,</w:t>
      </w:r>
      <w:r w:rsidRPr="00BD37A1">
        <w:rPr>
          <w:rFonts w:ascii="Times New Roman" w:hAnsi="Times New Roman" w:cs="Times New Roman"/>
        </w:rPr>
        <w:t xml:space="preserve"> Gulf </w:t>
      </w:r>
      <w:r w:rsidR="00CD0C12" w:rsidRPr="00BD37A1">
        <w:rPr>
          <w:rFonts w:ascii="Times New Roman" w:hAnsi="Times New Roman" w:cs="Times New Roman"/>
        </w:rPr>
        <w:t>States</w:t>
      </w:r>
      <w:r w:rsidRPr="00BD37A1">
        <w:rPr>
          <w:rFonts w:ascii="Times New Roman" w:hAnsi="Times New Roman" w:cs="Times New Roman"/>
        </w:rPr>
        <w:t xml:space="preserve"> began to set</w:t>
      </w:r>
      <w:r w:rsidR="00CD0C12" w:rsidRPr="00BD37A1">
        <w:rPr>
          <w:rFonts w:ascii="Times New Roman" w:hAnsi="Times New Roman" w:cs="Times New Roman"/>
        </w:rPr>
        <w:t xml:space="preserve"> their own season lengths for their state waters.</w:t>
      </w:r>
      <w:r w:rsidRPr="00BD37A1">
        <w:rPr>
          <w:rFonts w:ascii="Times New Roman" w:hAnsi="Times New Roman" w:cs="Times New Roman"/>
        </w:rPr>
        <w:t xml:space="preserve"> </w:t>
      </w:r>
      <w:r w:rsidR="00644618" w:rsidRPr="00BD37A1">
        <w:rPr>
          <w:rFonts w:ascii="Times New Roman" w:hAnsi="Times New Roman" w:cs="Times New Roman"/>
        </w:rPr>
        <w:t>Since 2015,</w:t>
      </w:r>
      <w:r w:rsidR="00107B3F" w:rsidRPr="00BD37A1">
        <w:rPr>
          <w:rFonts w:ascii="Times New Roman" w:hAnsi="Times New Roman" w:cs="Times New Roman"/>
        </w:rPr>
        <w:t xml:space="preserve"> the recreational fishing components </w:t>
      </w:r>
      <w:r w:rsidR="00644618" w:rsidRPr="00BD37A1">
        <w:rPr>
          <w:rFonts w:ascii="Times New Roman" w:hAnsi="Times New Roman" w:cs="Times New Roman"/>
        </w:rPr>
        <w:t>private and for-hire/charter) have been assigned separate quotas resulting in different</w:t>
      </w:r>
      <w:r w:rsidR="00CD0C12" w:rsidRPr="00BD37A1">
        <w:rPr>
          <w:rFonts w:ascii="Times New Roman" w:hAnsi="Times New Roman" w:cs="Times New Roman"/>
        </w:rPr>
        <w:t xml:space="preserve"> </w:t>
      </w:r>
      <w:r w:rsidR="00644618" w:rsidRPr="00BD37A1">
        <w:rPr>
          <w:rFonts w:ascii="Times New Roman" w:hAnsi="Times New Roman" w:cs="Times New Roman"/>
        </w:rPr>
        <w:t>season lengths</w:t>
      </w:r>
      <w:r w:rsidR="00CD0C12" w:rsidRPr="00BD37A1">
        <w:rPr>
          <w:rFonts w:ascii="Times New Roman" w:hAnsi="Times New Roman" w:cs="Times New Roman"/>
        </w:rPr>
        <w:t xml:space="preserve"> in the federal waters</w:t>
      </w:r>
      <w:r w:rsidR="00644618" w:rsidRPr="00BD37A1">
        <w:rPr>
          <w:rFonts w:ascii="Times New Roman" w:hAnsi="Times New Roman" w:cs="Times New Roman"/>
        </w:rPr>
        <w:t xml:space="preserve"> </w:t>
      </w:r>
      <w:r w:rsidR="00644618" w:rsidRPr="00676A0F">
        <w:rPr>
          <w:rFonts w:ascii="Times New Roman" w:hAnsi="Times New Roman" w:cs="Times New Roman"/>
        </w:rPr>
        <w:t>(</w:t>
      </w:r>
      <w:r w:rsidR="00BC69D6" w:rsidRPr="00676A0F">
        <w:rPr>
          <w:rFonts w:ascii="Times New Roman" w:hAnsi="Times New Roman" w:cs="Times New Roman"/>
        </w:rPr>
        <w:t>GMFMC 2014</w:t>
      </w:r>
      <w:r w:rsidR="00644618" w:rsidRPr="00676A0F">
        <w:rPr>
          <w:rFonts w:ascii="Times New Roman" w:hAnsi="Times New Roman" w:cs="Times New Roman"/>
        </w:rPr>
        <w:t xml:space="preserve">). </w:t>
      </w:r>
      <w:r w:rsidR="00644618" w:rsidRPr="005F200F">
        <w:rPr>
          <w:rFonts w:ascii="Times New Roman" w:hAnsi="Times New Roman" w:cs="Times New Roman"/>
        </w:rPr>
        <w:t xml:space="preserve">In 2018 and </w:t>
      </w:r>
      <w:r w:rsidR="00107B3F" w:rsidRPr="005F200F">
        <w:rPr>
          <w:rFonts w:ascii="Times New Roman" w:hAnsi="Times New Roman" w:cs="Times New Roman"/>
        </w:rPr>
        <w:t>2019,</w:t>
      </w:r>
      <w:r w:rsidR="00644618" w:rsidRPr="005F200F">
        <w:rPr>
          <w:rFonts w:ascii="Times New Roman" w:hAnsi="Times New Roman" w:cs="Times New Roman"/>
        </w:rPr>
        <w:t xml:space="preserve"> the private angling</w:t>
      </w:r>
      <w:r w:rsidR="00676A0F">
        <w:rPr>
          <w:rFonts w:ascii="Times New Roman" w:hAnsi="Times New Roman" w:cs="Times New Roman"/>
        </w:rPr>
        <w:t>,</w:t>
      </w:r>
      <w:r w:rsidR="00644618" w:rsidRPr="005F200F">
        <w:rPr>
          <w:rFonts w:ascii="Times New Roman" w:hAnsi="Times New Roman" w:cs="Times New Roman"/>
        </w:rPr>
        <w:t xml:space="preserve"> component fishing seasons were</w:t>
      </w:r>
      <w:r w:rsidRPr="005F200F">
        <w:rPr>
          <w:rFonts w:ascii="Times New Roman" w:hAnsi="Times New Roman" w:cs="Times New Roman"/>
        </w:rPr>
        <w:t xml:space="preserve"> officially</w:t>
      </w:r>
      <w:r w:rsidR="00644618" w:rsidRPr="005F200F">
        <w:rPr>
          <w:rFonts w:ascii="Times New Roman" w:hAnsi="Times New Roman" w:cs="Times New Roman"/>
        </w:rPr>
        <w:t xml:space="preserve"> set by each Gulf </w:t>
      </w:r>
      <w:r w:rsidR="00676A0F">
        <w:rPr>
          <w:rFonts w:ascii="Times New Roman" w:hAnsi="Times New Roman" w:cs="Times New Roman"/>
        </w:rPr>
        <w:t>S</w:t>
      </w:r>
      <w:r w:rsidR="00644618" w:rsidRPr="005F200F">
        <w:rPr>
          <w:rFonts w:ascii="Times New Roman" w:hAnsi="Times New Roman" w:cs="Times New Roman"/>
        </w:rPr>
        <w:t xml:space="preserve">tate through </w:t>
      </w:r>
      <w:r w:rsidR="0061479C" w:rsidRPr="005F200F">
        <w:rPr>
          <w:rFonts w:ascii="Times New Roman" w:hAnsi="Times New Roman" w:cs="Times New Roman"/>
        </w:rPr>
        <w:t xml:space="preserve">State recreational Red Snapper management </w:t>
      </w:r>
      <w:r w:rsidR="00676A0F">
        <w:rPr>
          <w:rFonts w:ascii="Times New Roman" w:hAnsi="Times New Roman" w:cs="Times New Roman"/>
        </w:rPr>
        <w:t>E</w:t>
      </w:r>
      <w:r w:rsidR="00644618" w:rsidRPr="005F200F">
        <w:rPr>
          <w:rFonts w:ascii="Times New Roman" w:hAnsi="Times New Roman" w:cs="Times New Roman"/>
        </w:rPr>
        <w:t xml:space="preserve">xempted </w:t>
      </w:r>
      <w:r w:rsidR="00676A0F">
        <w:rPr>
          <w:rFonts w:ascii="Times New Roman" w:hAnsi="Times New Roman" w:cs="Times New Roman"/>
        </w:rPr>
        <w:t>F</w:t>
      </w:r>
      <w:r w:rsidR="00644618" w:rsidRPr="005F200F">
        <w:rPr>
          <w:rFonts w:ascii="Times New Roman" w:hAnsi="Times New Roman" w:cs="Times New Roman"/>
        </w:rPr>
        <w:t xml:space="preserve">ishing </w:t>
      </w:r>
      <w:r w:rsidR="00676A0F">
        <w:rPr>
          <w:rFonts w:ascii="Times New Roman" w:hAnsi="Times New Roman" w:cs="Times New Roman"/>
        </w:rPr>
        <w:t>P</w:t>
      </w:r>
      <w:r w:rsidR="00644618" w:rsidRPr="005F200F">
        <w:rPr>
          <w:rFonts w:ascii="Times New Roman" w:hAnsi="Times New Roman" w:cs="Times New Roman"/>
        </w:rPr>
        <w:t>ermits (EFPs)</w:t>
      </w:r>
      <w:r w:rsidR="00CD0C12" w:rsidRPr="005F200F">
        <w:rPr>
          <w:rFonts w:ascii="Times New Roman" w:hAnsi="Times New Roman" w:cs="Times New Roman"/>
        </w:rPr>
        <w:t xml:space="preserve"> in both state and federal waters</w:t>
      </w:r>
      <w:r w:rsidR="00644618" w:rsidRPr="005F200F">
        <w:rPr>
          <w:rFonts w:ascii="Times New Roman" w:hAnsi="Times New Roman" w:cs="Times New Roman"/>
        </w:rPr>
        <w:t>, while the federal for-hire component season continued to be set by the National Marine Fisheries Service</w:t>
      </w:r>
      <w:r w:rsidR="00760F4A" w:rsidRPr="005F200F">
        <w:rPr>
          <w:rFonts w:ascii="Times New Roman" w:hAnsi="Times New Roman" w:cs="Times New Roman"/>
        </w:rPr>
        <w:t xml:space="preserve"> </w:t>
      </w:r>
      <w:r w:rsidR="0061479C" w:rsidRPr="00676A0F">
        <w:rPr>
          <w:rFonts w:ascii="Times New Roman" w:hAnsi="Times New Roman" w:cs="Times New Roman"/>
        </w:rPr>
        <w:t>(</w:t>
      </w:r>
      <w:hyperlink r:id="rId9" w:history="1">
        <w:r w:rsidR="00760F4A" w:rsidRPr="00676A0F">
          <w:rPr>
            <w:rStyle w:val="Hyperlink"/>
            <w:rFonts w:ascii="Times New Roman" w:hAnsi="Times New Roman" w:cs="Times New Roman"/>
          </w:rPr>
          <w:t>EFP_description</w:t>
        </w:r>
      </w:hyperlink>
      <w:r w:rsidR="0061479C" w:rsidRPr="00676A0F">
        <w:rPr>
          <w:rFonts w:ascii="Times New Roman" w:hAnsi="Times New Roman" w:cs="Times New Roman"/>
        </w:rPr>
        <w:t>)</w:t>
      </w:r>
      <w:r w:rsidR="00644618" w:rsidRPr="005F200F">
        <w:rPr>
          <w:rFonts w:ascii="Times New Roman" w:hAnsi="Times New Roman" w:cs="Times New Roman"/>
        </w:rPr>
        <w:t>.</w:t>
      </w:r>
      <w:r w:rsidR="00107B3F" w:rsidRPr="005F200F">
        <w:rPr>
          <w:rFonts w:ascii="Times New Roman" w:hAnsi="Times New Roman" w:cs="Times New Roman"/>
        </w:rPr>
        <w:t xml:space="preserve"> In </w:t>
      </w:r>
      <w:r w:rsidR="0061479C" w:rsidRPr="005F200F">
        <w:rPr>
          <w:rFonts w:ascii="Times New Roman" w:hAnsi="Times New Roman" w:cs="Times New Roman"/>
        </w:rPr>
        <w:t>2020,</w:t>
      </w:r>
      <w:r w:rsidR="00107B3F" w:rsidRPr="005F200F">
        <w:rPr>
          <w:rFonts w:ascii="Times New Roman" w:hAnsi="Times New Roman" w:cs="Times New Roman"/>
        </w:rPr>
        <w:t xml:space="preserve"> </w:t>
      </w:r>
      <w:r w:rsidR="0061479C" w:rsidRPr="005F200F">
        <w:rPr>
          <w:rFonts w:ascii="Times New Roman" w:hAnsi="Times New Roman" w:cs="Times New Roman"/>
        </w:rPr>
        <w:t xml:space="preserve">an amendment to the fisheries management plan was made to provide limited authority to </w:t>
      </w:r>
      <w:r w:rsidR="00CD0C12" w:rsidRPr="005F200F">
        <w:rPr>
          <w:rFonts w:ascii="Times New Roman" w:hAnsi="Times New Roman" w:cs="Times New Roman"/>
        </w:rPr>
        <w:t xml:space="preserve">the Gulf </w:t>
      </w:r>
      <w:r w:rsidR="00676A0F">
        <w:rPr>
          <w:rFonts w:ascii="Times New Roman" w:hAnsi="Times New Roman" w:cs="Times New Roman"/>
        </w:rPr>
        <w:t>S</w:t>
      </w:r>
      <w:r w:rsidR="00CD0C12" w:rsidRPr="005F200F">
        <w:rPr>
          <w:rFonts w:ascii="Times New Roman" w:hAnsi="Times New Roman" w:cs="Times New Roman"/>
        </w:rPr>
        <w:t>tates</w:t>
      </w:r>
      <w:r w:rsidR="0061479C" w:rsidRPr="005F200F">
        <w:rPr>
          <w:rFonts w:ascii="Times New Roman" w:hAnsi="Times New Roman" w:cs="Times New Roman"/>
        </w:rPr>
        <w:t xml:space="preserve"> to manage </w:t>
      </w:r>
      <w:r w:rsidR="00E66492" w:rsidRPr="005F200F">
        <w:rPr>
          <w:rFonts w:ascii="Times New Roman" w:hAnsi="Times New Roman" w:cs="Times New Roman"/>
        </w:rPr>
        <w:t xml:space="preserve">private </w:t>
      </w:r>
      <w:r w:rsidR="0061479C" w:rsidRPr="005F200F">
        <w:rPr>
          <w:rFonts w:ascii="Times New Roman" w:hAnsi="Times New Roman" w:cs="Times New Roman"/>
        </w:rPr>
        <w:t>recreational fishing of red snapper in federal waters in the Gulf of Mexico</w:t>
      </w:r>
      <w:r w:rsidR="00676A0F">
        <w:rPr>
          <w:rFonts w:ascii="Times New Roman" w:hAnsi="Times New Roman" w:cs="Times New Roman"/>
        </w:rPr>
        <w:t>,</w:t>
      </w:r>
      <w:r w:rsidR="0061479C" w:rsidRPr="005F200F">
        <w:rPr>
          <w:rFonts w:ascii="Times New Roman" w:hAnsi="Times New Roman" w:cs="Times New Roman"/>
        </w:rPr>
        <w:t xml:space="preserve"> adjacent to their state waters </w:t>
      </w:r>
      <w:r w:rsidR="0061479C" w:rsidRPr="00676A0F">
        <w:rPr>
          <w:rFonts w:ascii="Times New Roman" w:hAnsi="Times New Roman" w:cs="Times New Roman"/>
        </w:rPr>
        <w:t>(</w:t>
      </w:r>
      <w:r w:rsidR="00BC69D6" w:rsidRPr="00676A0F">
        <w:rPr>
          <w:rFonts w:ascii="Times New Roman" w:hAnsi="Times New Roman" w:cs="Times New Roman"/>
        </w:rPr>
        <w:t>GMFMC 2019a-f</w:t>
      </w:r>
      <w:r w:rsidR="0061479C" w:rsidRPr="00676A0F">
        <w:rPr>
          <w:rFonts w:ascii="Times New Roman" w:hAnsi="Times New Roman" w:cs="Times New Roman"/>
        </w:rPr>
        <w:t>)</w:t>
      </w:r>
      <w:r w:rsidR="0061479C" w:rsidRPr="005F200F">
        <w:rPr>
          <w:rFonts w:ascii="Times New Roman" w:hAnsi="Times New Roman" w:cs="Times New Roman"/>
        </w:rPr>
        <w:t>.</w:t>
      </w:r>
      <w:r w:rsidR="00644618" w:rsidRPr="005F200F">
        <w:rPr>
          <w:rFonts w:ascii="Times New Roman" w:hAnsi="Times New Roman" w:cs="Times New Roman"/>
        </w:rPr>
        <w:t xml:space="preserve"> As such, partitioning between open and closed seasons </w:t>
      </w:r>
      <w:r w:rsidR="00644618" w:rsidRPr="00676A0F">
        <w:rPr>
          <w:rFonts w:ascii="Times New Roman" w:hAnsi="Times New Roman" w:cs="Times New Roman"/>
        </w:rPr>
        <w:t>must be calcul</w:t>
      </w:r>
      <w:r w:rsidR="00CD0C12" w:rsidRPr="00676A0F">
        <w:rPr>
          <w:rFonts w:ascii="Times New Roman" w:hAnsi="Times New Roman" w:cs="Times New Roman"/>
        </w:rPr>
        <w:t>ated independently for each recreational fishing component,</w:t>
      </w:r>
      <w:r w:rsidR="00644618" w:rsidRPr="00676A0F">
        <w:rPr>
          <w:rFonts w:ascii="Times New Roman" w:hAnsi="Times New Roman" w:cs="Times New Roman"/>
        </w:rPr>
        <w:t xml:space="preserve"> and with the consideration of discards from state and/or federal waters.</w:t>
      </w:r>
    </w:p>
    <w:p w:rsidR="005B29F9" w:rsidRPr="00916459" w:rsidRDefault="00644618" w:rsidP="00916459">
      <w:pPr>
        <w:pStyle w:val="Heading1"/>
      </w:pPr>
      <w:r w:rsidRPr="00916459">
        <w:rPr>
          <w:rFonts w:ascii="Times New Roman" w:hAnsi="Times New Roman" w:cs="Times New Roman"/>
        </w:rPr>
        <w:t>Methods</w:t>
      </w:r>
    </w:p>
    <w:p w:rsidR="00E77106" w:rsidRPr="00916459" w:rsidRDefault="00107B3F" w:rsidP="00916459">
      <w:pPr>
        <w:pStyle w:val="Heading2"/>
        <w:rPr>
          <w:rFonts w:ascii="Times New Roman" w:hAnsi="Times New Roman" w:cs="Times New Roman"/>
        </w:rPr>
      </w:pPr>
      <w:r w:rsidRPr="00916459">
        <w:rPr>
          <w:rFonts w:ascii="Times New Roman" w:hAnsi="Times New Roman" w:cs="Times New Roman"/>
        </w:rPr>
        <w:t xml:space="preserve">Determining Private </w:t>
      </w:r>
      <w:r w:rsidR="006A629B" w:rsidRPr="00916459">
        <w:rPr>
          <w:rFonts w:ascii="Times New Roman" w:hAnsi="Times New Roman" w:cs="Times New Roman"/>
        </w:rPr>
        <w:t>vs</w:t>
      </w:r>
      <w:r w:rsidR="00916459">
        <w:rPr>
          <w:rFonts w:ascii="Times New Roman" w:hAnsi="Times New Roman" w:cs="Times New Roman"/>
        </w:rPr>
        <w:t>.</w:t>
      </w:r>
      <w:r w:rsidRPr="00916459">
        <w:rPr>
          <w:rFonts w:ascii="Times New Roman" w:hAnsi="Times New Roman" w:cs="Times New Roman"/>
        </w:rPr>
        <w:t xml:space="preserve"> F</w:t>
      </w:r>
      <w:r w:rsidR="00065408" w:rsidRPr="00916459">
        <w:rPr>
          <w:rFonts w:ascii="Times New Roman" w:hAnsi="Times New Roman" w:cs="Times New Roman"/>
        </w:rPr>
        <w:t>or-</w:t>
      </w:r>
      <w:r w:rsidRPr="00916459">
        <w:rPr>
          <w:rFonts w:ascii="Times New Roman" w:hAnsi="Times New Roman" w:cs="Times New Roman"/>
        </w:rPr>
        <w:t xml:space="preserve">hire and </w:t>
      </w:r>
      <w:r w:rsidR="006B7AE7" w:rsidRPr="00916459">
        <w:rPr>
          <w:rFonts w:ascii="Times New Roman" w:hAnsi="Times New Roman" w:cs="Times New Roman"/>
        </w:rPr>
        <w:t xml:space="preserve">Federal </w:t>
      </w:r>
      <w:r w:rsidR="006A629B" w:rsidRPr="00916459">
        <w:rPr>
          <w:rFonts w:ascii="Times New Roman" w:hAnsi="Times New Roman" w:cs="Times New Roman"/>
        </w:rPr>
        <w:t>vs</w:t>
      </w:r>
      <w:r w:rsidR="00916459">
        <w:rPr>
          <w:rFonts w:ascii="Times New Roman" w:hAnsi="Times New Roman" w:cs="Times New Roman"/>
        </w:rPr>
        <w:t>.</w:t>
      </w:r>
      <w:r w:rsidR="006B7AE7" w:rsidRPr="00916459">
        <w:rPr>
          <w:rFonts w:ascii="Times New Roman" w:hAnsi="Times New Roman" w:cs="Times New Roman"/>
        </w:rPr>
        <w:t xml:space="preserve"> State Season Lengths</w:t>
      </w:r>
    </w:p>
    <w:p w:rsidR="00C03806" w:rsidRPr="00916459" w:rsidRDefault="004F4114">
      <w:pPr>
        <w:rPr>
          <w:rFonts w:ascii="Times New Roman" w:hAnsi="Times New Roman" w:cs="Times New Roman"/>
        </w:rPr>
      </w:pPr>
      <w:r w:rsidRPr="00916459">
        <w:rPr>
          <w:rFonts w:ascii="Times New Roman" w:hAnsi="Times New Roman" w:cs="Times New Roman"/>
        </w:rPr>
        <w:t>S</w:t>
      </w:r>
      <w:r w:rsidR="00D76A50" w:rsidRPr="00916459">
        <w:rPr>
          <w:rFonts w:ascii="Times New Roman" w:hAnsi="Times New Roman" w:cs="Times New Roman"/>
        </w:rPr>
        <w:t xml:space="preserve">tarting in </w:t>
      </w:r>
      <w:r w:rsidR="00D64EFA" w:rsidRPr="00916459">
        <w:rPr>
          <w:rFonts w:ascii="Times New Roman" w:hAnsi="Times New Roman" w:cs="Times New Roman"/>
        </w:rPr>
        <w:t>201</w:t>
      </w:r>
      <w:r w:rsidR="002F174A" w:rsidRPr="00916459">
        <w:rPr>
          <w:rFonts w:ascii="Times New Roman" w:hAnsi="Times New Roman" w:cs="Times New Roman"/>
        </w:rPr>
        <w:t>3</w:t>
      </w:r>
      <w:r w:rsidRPr="00916459">
        <w:rPr>
          <w:rFonts w:ascii="Times New Roman" w:hAnsi="Times New Roman" w:cs="Times New Roman"/>
        </w:rPr>
        <w:t>, t</w:t>
      </w:r>
      <w:r w:rsidR="00065408" w:rsidRPr="00916459">
        <w:rPr>
          <w:rFonts w:ascii="Times New Roman" w:hAnsi="Times New Roman" w:cs="Times New Roman"/>
        </w:rPr>
        <w:t>he season length for the private compo</w:t>
      </w:r>
      <w:r w:rsidR="002F174A" w:rsidRPr="00916459">
        <w:rPr>
          <w:rFonts w:ascii="Times New Roman" w:hAnsi="Times New Roman" w:cs="Times New Roman"/>
        </w:rPr>
        <w:t xml:space="preserve">nent </w:t>
      </w:r>
      <w:r w:rsidR="00C33B39" w:rsidRPr="00916459">
        <w:rPr>
          <w:rFonts w:ascii="Times New Roman" w:hAnsi="Times New Roman" w:cs="Times New Roman"/>
        </w:rPr>
        <w:t>was</w:t>
      </w:r>
      <w:r w:rsidR="00CD0C12" w:rsidRPr="00916459">
        <w:rPr>
          <w:rFonts w:ascii="Times New Roman" w:hAnsi="Times New Roman" w:cs="Times New Roman"/>
        </w:rPr>
        <w:t xml:space="preserve"> split</w:t>
      </w:r>
      <w:r w:rsidR="002563CA" w:rsidRPr="00916459">
        <w:rPr>
          <w:rFonts w:ascii="Times New Roman" w:hAnsi="Times New Roman" w:cs="Times New Roman"/>
        </w:rPr>
        <w:t xml:space="preserve"> into season lengths in </w:t>
      </w:r>
      <w:r w:rsidR="002F174A" w:rsidRPr="00916459">
        <w:rPr>
          <w:rFonts w:ascii="Times New Roman" w:hAnsi="Times New Roman" w:cs="Times New Roman"/>
        </w:rPr>
        <w:t>federal waters (Table 1) v</w:t>
      </w:r>
      <w:r w:rsidR="002563CA" w:rsidRPr="00916459">
        <w:rPr>
          <w:rFonts w:ascii="Times New Roman" w:hAnsi="Times New Roman" w:cs="Times New Roman"/>
        </w:rPr>
        <w:t>ersus</w:t>
      </w:r>
      <w:r w:rsidR="002F174A" w:rsidRPr="00916459">
        <w:rPr>
          <w:rFonts w:ascii="Times New Roman" w:hAnsi="Times New Roman" w:cs="Times New Roman"/>
        </w:rPr>
        <w:t xml:space="preserve"> season lengths in the state waters (Table 2). </w:t>
      </w:r>
      <w:r w:rsidR="007561FE" w:rsidRPr="00916459">
        <w:rPr>
          <w:rFonts w:ascii="Times New Roman" w:hAnsi="Times New Roman" w:cs="Times New Roman"/>
        </w:rPr>
        <w:t xml:space="preserve">Season length information </w:t>
      </w:r>
      <w:r w:rsidR="002F174A" w:rsidRPr="00916459">
        <w:rPr>
          <w:rFonts w:ascii="Times New Roman" w:hAnsi="Times New Roman" w:cs="Times New Roman"/>
        </w:rPr>
        <w:t>was</w:t>
      </w:r>
      <w:r w:rsidR="007561FE" w:rsidRPr="00916459">
        <w:rPr>
          <w:rFonts w:ascii="Times New Roman" w:hAnsi="Times New Roman" w:cs="Times New Roman"/>
        </w:rPr>
        <w:t xml:space="preserve"> provided by </w:t>
      </w:r>
      <w:r w:rsidR="00000BE3" w:rsidRPr="00916459">
        <w:rPr>
          <w:rFonts w:ascii="Times New Roman" w:hAnsi="Times New Roman" w:cs="Times New Roman"/>
        </w:rPr>
        <w:t xml:space="preserve">the </w:t>
      </w:r>
      <w:r w:rsidR="007561FE" w:rsidRPr="00916459">
        <w:rPr>
          <w:rFonts w:ascii="Times New Roman" w:hAnsi="Times New Roman" w:cs="Times New Roman"/>
        </w:rPr>
        <w:t>S</w:t>
      </w:r>
      <w:r w:rsidR="00000BE3" w:rsidRPr="00916459">
        <w:rPr>
          <w:rFonts w:ascii="Times New Roman" w:hAnsi="Times New Roman" w:cs="Times New Roman"/>
        </w:rPr>
        <w:t xml:space="preserve">outheast </w:t>
      </w:r>
      <w:r w:rsidR="007561FE" w:rsidRPr="00916459">
        <w:rPr>
          <w:rFonts w:ascii="Times New Roman" w:hAnsi="Times New Roman" w:cs="Times New Roman"/>
        </w:rPr>
        <w:t>R</w:t>
      </w:r>
      <w:r w:rsidR="00000BE3" w:rsidRPr="00916459">
        <w:rPr>
          <w:rFonts w:ascii="Times New Roman" w:hAnsi="Times New Roman" w:cs="Times New Roman"/>
        </w:rPr>
        <w:t xml:space="preserve">egional </w:t>
      </w:r>
      <w:r w:rsidR="007561FE" w:rsidRPr="00916459">
        <w:rPr>
          <w:rFonts w:ascii="Times New Roman" w:hAnsi="Times New Roman" w:cs="Times New Roman"/>
        </w:rPr>
        <w:t>O</w:t>
      </w:r>
      <w:r w:rsidR="00000BE3" w:rsidRPr="00916459">
        <w:rPr>
          <w:rFonts w:ascii="Times New Roman" w:hAnsi="Times New Roman" w:cs="Times New Roman"/>
        </w:rPr>
        <w:t>ffice</w:t>
      </w:r>
      <w:r w:rsidR="007561FE" w:rsidRPr="00916459">
        <w:rPr>
          <w:rFonts w:ascii="Times New Roman" w:hAnsi="Times New Roman" w:cs="Times New Roman"/>
        </w:rPr>
        <w:t xml:space="preserve"> as part of the</w:t>
      </w:r>
      <w:r w:rsidR="002F174A" w:rsidRPr="00916459">
        <w:rPr>
          <w:rFonts w:ascii="Times New Roman" w:hAnsi="Times New Roman" w:cs="Times New Roman"/>
        </w:rPr>
        <w:t xml:space="preserve"> Gulf of Mexico Red Snapper</w:t>
      </w:r>
      <w:r w:rsidR="007561FE" w:rsidRPr="00916459">
        <w:rPr>
          <w:rFonts w:ascii="Times New Roman" w:hAnsi="Times New Roman" w:cs="Times New Roman"/>
        </w:rPr>
        <w:t xml:space="preserve"> manage</w:t>
      </w:r>
      <w:r w:rsidR="00C81644" w:rsidRPr="00916459">
        <w:rPr>
          <w:rFonts w:ascii="Times New Roman" w:hAnsi="Times New Roman" w:cs="Times New Roman"/>
        </w:rPr>
        <w:t>ment history</w:t>
      </w:r>
      <w:r w:rsidR="007561FE" w:rsidRPr="00916459">
        <w:rPr>
          <w:rFonts w:ascii="Times New Roman" w:hAnsi="Times New Roman" w:cs="Times New Roman"/>
        </w:rPr>
        <w:t xml:space="preserve"> summary.</w:t>
      </w:r>
      <w:r w:rsidR="00065408" w:rsidRPr="00916459">
        <w:rPr>
          <w:rFonts w:ascii="Times New Roman" w:hAnsi="Times New Roman" w:cs="Times New Roman"/>
        </w:rPr>
        <w:t xml:space="preserve"> </w:t>
      </w:r>
      <w:r w:rsidR="0040294C" w:rsidRPr="00916459">
        <w:rPr>
          <w:rFonts w:ascii="Times New Roman" w:hAnsi="Times New Roman" w:cs="Times New Roman"/>
        </w:rPr>
        <w:t xml:space="preserve">An R script </w:t>
      </w:r>
      <w:r w:rsidR="007C1D21">
        <w:rPr>
          <w:rFonts w:ascii="Times New Roman" w:hAnsi="Times New Roman" w:cs="Times New Roman"/>
        </w:rPr>
        <w:t>wa</w:t>
      </w:r>
      <w:r w:rsidR="0040294C" w:rsidRPr="00916459">
        <w:rPr>
          <w:rFonts w:ascii="Times New Roman" w:hAnsi="Times New Roman" w:cs="Times New Roman"/>
        </w:rPr>
        <w:t>s used to tabulate season length based on annual regulations (see reg_table</w:t>
      </w:r>
      <w:r w:rsidR="000A044F" w:rsidRPr="00916459">
        <w:rPr>
          <w:rFonts w:ascii="Times New Roman" w:hAnsi="Times New Roman" w:cs="Times New Roman"/>
        </w:rPr>
        <w:t>.R</w:t>
      </w:r>
      <w:r w:rsidR="0040294C" w:rsidRPr="00916459">
        <w:rPr>
          <w:rFonts w:ascii="Times New Roman" w:hAnsi="Times New Roman" w:cs="Times New Roman"/>
        </w:rPr>
        <w:t xml:space="preserve"> script in GitHub repository). </w:t>
      </w:r>
      <w:r w:rsidR="00065408" w:rsidRPr="00916459">
        <w:rPr>
          <w:rFonts w:ascii="Times New Roman" w:hAnsi="Times New Roman" w:cs="Times New Roman"/>
        </w:rPr>
        <w:t xml:space="preserve">Given these season </w:t>
      </w:r>
      <w:r w:rsidR="007222CB" w:rsidRPr="00916459">
        <w:rPr>
          <w:rFonts w:ascii="Times New Roman" w:hAnsi="Times New Roman" w:cs="Times New Roman"/>
        </w:rPr>
        <w:t>lengths,</w:t>
      </w:r>
      <w:r w:rsidR="00065408" w:rsidRPr="00916459">
        <w:rPr>
          <w:rFonts w:ascii="Times New Roman" w:hAnsi="Times New Roman" w:cs="Times New Roman"/>
        </w:rPr>
        <w:t xml:space="preserve"> the</w:t>
      </w:r>
      <w:r w:rsidR="007561FE" w:rsidRPr="00916459">
        <w:rPr>
          <w:rFonts w:ascii="Times New Roman" w:hAnsi="Times New Roman" w:cs="Times New Roman"/>
        </w:rPr>
        <w:t xml:space="preserve"> </w:t>
      </w:r>
      <w:r w:rsidR="00C03806" w:rsidRPr="00916459">
        <w:rPr>
          <w:rFonts w:ascii="Times New Roman" w:hAnsi="Times New Roman" w:cs="Times New Roman"/>
        </w:rPr>
        <w:t>proportion</w:t>
      </w:r>
      <w:r w:rsidR="00593448">
        <w:rPr>
          <w:rFonts w:ascii="Times New Roman" w:hAnsi="Times New Roman" w:cs="Times New Roman"/>
        </w:rPr>
        <w:t xml:space="preserve"> of days the season was</w:t>
      </w:r>
      <w:r w:rsidR="007561FE" w:rsidRPr="00916459">
        <w:rPr>
          <w:rFonts w:ascii="Times New Roman" w:hAnsi="Times New Roman" w:cs="Times New Roman"/>
        </w:rPr>
        <w:t xml:space="preserve"> open </w:t>
      </w:r>
      <w:r w:rsidR="00C33B39" w:rsidRPr="00916459">
        <w:rPr>
          <w:rFonts w:ascii="Times New Roman" w:hAnsi="Times New Roman" w:cs="Times New Roman"/>
        </w:rPr>
        <w:t>was</w:t>
      </w:r>
      <w:r w:rsidR="007561FE" w:rsidRPr="00916459">
        <w:rPr>
          <w:rFonts w:ascii="Times New Roman" w:hAnsi="Times New Roman" w:cs="Times New Roman"/>
        </w:rPr>
        <w:t xml:space="preserve"> calculated per wave</w:t>
      </w:r>
      <w:r w:rsidR="00065408" w:rsidRPr="00916459">
        <w:rPr>
          <w:rFonts w:ascii="Times New Roman" w:hAnsi="Times New Roman" w:cs="Times New Roman"/>
        </w:rPr>
        <w:t>,</w:t>
      </w:r>
      <w:r w:rsidR="007561FE" w:rsidRPr="00916459">
        <w:rPr>
          <w:rFonts w:ascii="Times New Roman" w:hAnsi="Times New Roman" w:cs="Times New Roman"/>
        </w:rPr>
        <w:t xml:space="preserve"> by</w:t>
      </w:r>
      <w:r w:rsidR="00065408" w:rsidRPr="00916459">
        <w:rPr>
          <w:rFonts w:ascii="Times New Roman" w:hAnsi="Times New Roman" w:cs="Times New Roman"/>
        </w:rPr>
        <w:t xml:space="preserve"> each</w:t>
      </w:r>
      <w:r w:rsidR="007561FE" w:rsidRPr="00916459">
        <w:rPr>
          <w:rFonts w:ascii="Times New Roman" w:hAnsi="Times New Roman" w:cs="Times New Roman"/>
        </w:rPr>
        <w:t xml:space="preserve"> </w:t>
      </w:r>
      <w:r w:rsidR="007222CB" w:rsidRPr="00916459">
        <w:rPr>
          <w:rFonts w:ascii="Times New Roman" w:hAnsi="Times New Roman" w:cs="Times New Roman"/>
        </w:rPr>
        <w:t>component</w:t>
      </w:r>
      <w:r w:rsidR="007561FE" w:rsidRPr="00916459">
        <w:rPr>
          <w:rFonts w:ascii="Times New Roman" w:hAnsi="Times New Roman" w:cs="Times New Roman"/>
        </w:rPr>
        <w:t>.</w:t>
      </w:r>
      <w:r w:rsidR="00C03806" w:rsidRPr="00916459">
        <w:rPr>
          <w:rFonts w:ascii="Times New Roman" w:hAnsi="Times New Roman" w:cs="Times New Roman"/>
        </w:rPr>
        <w:t xml:space="preserve"> There are </w:t>
      </w:r>
      <w:r w:rsidR="00D76A50" w:rsidRPr="00916459">
        <w:rPr>
          <w:rFonts w:ascii="Times New Roman" w:hAnsi="Times New Roman" w:cs="Times New Roman"/>
        </w:rPr>
        <w:t>six</w:t>
      </w:r>
      <w:r w:rsidR="00C03806" w:rsidRPr="00916459">
        <w:rPr>
          <w:rFonts w:ascii="Times New Roman" w:hAnsi="Times New Roman" w:cs="Times New Roman"/>
        </w:rPr>
        <w:t xml:space="preserve"> waves in a year</w:t>
      </w:r>
      <w:r w:rsidR="007222CB" w:rsidRPr="00916459">
        <w:rPr>
          <w:rFonts w:ascii="Times New Roman" w:hAnsi="Times New Roman" w:cs="Times New Roman"/>
        </w:rPr>
        <w:t>,</w:t>
      </w:r>
      <w:r w:rsidR="00C03806" w:rsidRPr="00916459">
        <w:rPr>
          <w:rFonts w:ascii="Times New Roman" w:hAnsi="Times New Roman" w:cs="Times New Roman"/>
        </w:rPr>
        <w:t xml:space="preserve"> starting in </w:t>
      </w:r>
      <w:r w:rsidR="00D76A50" w:rsidRPr="00916459">
        <w:rPr>
          <w:rFonts w:ascii="Times New Roman" w:hAnsi="Times New Roman" w:cs="Times New Roman"/>
        </w:rPr>
        <w:t>January</w:t>
      </w:r>
      <w:r w:rsidR="00C03806" w:rsidRPr="00916459">
        <w:rPr>
          <w:rFonts w:ascii="Times New Roman" w:hAnsi="Times New Roman" w:cs="Times New Roman"/>
        </w:rPr>
        <w:t>.</w:t>
      </w:r>
      <w:r w:rsidR="00C33B39" w:rsidRPr="00916459">
        <w:rPr>
          <w:rFonts w:ascii="Times New Roman" w:hAnsi="Times New Roman" w:cs="Times New Roman"/>
        </w:rPr>
        <w:t xml:space="preserve"> To get the proportion of open days in a wave, the number of open days in a wave was divided by the total number of days in a wave</w:t>
      </w:r>
      <w:r w:rsidR="00593448">
        <w:rPr>
          <w:rFonts w:ascii="Times New Roman" w:hAnsi="Times New Roman" w:cs="Times New Roman"/>
        </w:rPr>
        <w:t xml:space="preserve"> (i.e., </w:t>
      </w:r>
      <w:r w:rsidR="001655C3">
        <w:rPr>
          <w:rFonts w:ascii="Times New Roman" w:hAnsi="Times New Roman" w:cs="Times New Roman"/>
        </w:rPr>
        <w:t xml:space="preserve">total </w:t>
      </w:r>
      <w:r w:rsidR="00593448">
        <w:rPr>
          <w:rFonts w:ascii="Times New Roman" w:hAnsi="Times New Roman" w:cs="Times New Roman"/>
        </w:rPr>
        <w:t xml:space="preserve">numbers of days in the </w:t>
      </w:r>
      <w:r w:rsidR="001655C3">
        <w:rPr>
          <w:rFonts w:ascii="Times New Roman" w:hAnsi="Times New Roman" w:cs="Times New Roman"/>
        </w:rPr>
        <w:t xml:space="preserve">wave </w:t>
      </w:r>
      <w:r w:rsidR="00593448">
        <w:rPr>
          <w:rFonts w:ascii="Times New Roman" w:hAnsi="Times New Roman" w:cs="Times New Roman"/>
        </w:rPr>
        <w:t>months)</w:t>
      </w:r>
      <w:r w:rsidR="00C33B39" w:rsidRPr="00916459">
        <w:rPr>
          <w:rFonts w:ascii="Times New Roman" w:hAnsi="Times New Roman" w:cs="Times New Roman"/>
        </w:rPr>
        <w:t>.</w:t>
      </w:r>
      <w:r w:rsidR="001655C3">
        <w:rPr>
          <w:rFonts w:ascii="Times New Roman" w:hAnsi="Times New Roman" w:cs="Times New Roman"/>
        </w:rPr>
        <w:t xml:space="preserve"> Leap years are taken into consideration.</w:t>
      </w:r>
    </w:p>
    <w:p w:rsidR="00725EEB" w:rsidRPr="00916459" w:rsidRDefault="00E1745F" w:rsidP="00916459">
      <w:pPr>
        <w:pStyle w:val="Heading2"/>
        <w:rPr>
          <w:rFonts w:ascii="Times New Roman" w:hAnsi="Times New Roman" w:cs="Times New Roman"/>
        </w:rPr>
      </w:pPr>
      <w:r w:rsidRPr="00916459">
        <w:rPr>
          <w:rFonts w:ascii="Times New Roman" w:hAnsi="Times New Roman" w:cs="Times New Roman"/>
        </w:rPr>
        <w:t xml:space="preserve">Discards by </w:t>
      </w:r>
      <w:r w:rsidR="002F174A" w:rsidRPr="00916459">
        <w:rPr>
          <w:rFonts w:ascii="Times New Roman" w:hAnsi="Times New Roman" w:cs="Times New Roman"/>
        </w:rPr>
        <w:t>Component</w:t>
      </w:r>
      <w:r w:rsidR="00BF6E34" w:rsidRPr="00916459">
        <w:rPr>
          <w:rFonts w:ascii="Times New Roman" w:hAnsi="Times New Roman" w:cs="Times New Roman"/>
        </w:rPr>
        <w:t>, Stock ID region,</w:t>
      </w:r>
      <w:r w:rsidRPr="00916459">
        <w:rPr>
          <w:rFonts w:ascii="Times New Roman" w:hAnsi="Times New Roman" w:cs="Times New Roman"/>
        </w:rPr>
        <w:t xml:space="preserve"> and Season</w:t>
      </w:r>
    </w:p>
    <w:p w:rsidR="00183C34" w:rsidRPr="00916459" w:rsidRDefault="00183C34" w:rsidP="00916459">
      <w:pPr>
        <w:pStyle w:val="Heading3"/>
        <w:rPr>
          <w:rFonts w:ascii="Times New Roman" w:hAnsi="Times New Roman" w:cs="Times New Roman"/>
        </w:rPr>
      </w:pPr>
      <w:r w:rsidRPr="00916459">
        <w:rPr>
          <w:rFonts w:ascii="Times New Roman" w:hAnsi="Times New Roman" w:cs="Times New Roman"/>
        </w:rPr>
        <w:t>For-Hire Component</w:t>
      </w:r>
    </w:p>
    <w:p w:rsidR="00BF6E34" w:rsidRPr="004B6668" w:rsidRDefault="00C03806" w:rsidP="00E86962">
      <w:pPr>
        <w:rPr>
          <w:rFonts w:ascii="Times New Roman" w:hAnsi="Times New Roman" w:cs="Times New Roman"/>
        </w:rPr>
      </w:pPr>
      <w:r w:rsidRPr="004B6668">
        <w:rPr>
          <w:rFonts w:ascii="Times New Roman" w:hAnsi="Times New Roman" w:cs="Times New Roman"/>
        </w:rPr>
        <w:t xml:space="preserve">To determine the </w:t>
      </w:r>
      <w:r w:rsidR="001260A0" w:rsidRPr="004B6668">
        <w:rPr>
          <w:rFonts w:ascii="Times New Roman" w:hAnsi="Times New Roman" w:cs="Times New Roman"/>
        </w:rPr>
        <w:t xml:space="preserve">annual </w:t>
      </w:r>
      <w:r w:rsidRPr="004B6668">
        <w:rPr>
          <w:rFonts w:ascii="Times New Roman" w:hAnsi="Times New Roman" w:cs="Times New Roman"/>
        </w:rPr>
        <w:t xml:space="preserve">discards for </w:t>
      </w:r>
      <w:r w:rsidR="001260A0" w:rsidRPr="004B6668">
        <w:rPr>
          <w:rFonts w:ascii="Times New Roman" w:hAnsi="Times New Roman" w:cs="Times New Roman"/>
        </w:rPr>
        <w:t xml:space="preserve">each </w:t>
      </w:r>
      <w:r w:rsidR="002F174A" w:rsidRPr="004B6668">
        <w:rPr>
          <w:rFonts w:ascii="Times New Roman" w:hAnsi="Times New Roman" w:cs="Times New Roman"/>
        </w:rPr>
        <w:t>recreational fishing component,</w:t>
      </w:r>
      <w:r w:rsidR="001260A0" w:rsidRPr="004B6668">
        <w:rPr>
          <w:rFonts w:ascii="Times New Roman" w:hAnsi="Times New Roman" w:cs="Times New Roman"/>
        </w:rPr>
        <w:t xml:space="preserve"> the</w:t>
      </w:r>
      <w:r w:rsidRPr="004B6668">
        <w:rPr>
          <w:rFonts w:ascii="Times New Roman" w:hAnsi="Times New Roman" w:cs="Times New Roman"/>
        </w:rPr>
        <w:t xml:space="preserve"> General </w:t>
      </w:r>
      <w:r w:rsidR="007C1D21" w:rsidRPr="004B6668">
        <w:rPr>
          <w:rFonts w:ascii="Times New Roman" w:hAnsi="Times New Roman" w:cs="Times New Roman"/>
        </w:rPr>
        <w:t>R</w:t>
      </w:r>
      <w:r w:rsidRPr="004B6668">
        <w:rPr>
          <w:rFonts w:ascii="Times New Roman" w:hAnsi="Times New Roman" w:cs="Times New Roman"/>
        </w:rPr>
        <w:t>ecreational data (</w:t>
      </w:r>
      <w:r w:rsidR="002F174A" w:rsidRPr="004B6668">
        <w:rPr>
          <w:rFonts w:ascii="Times New Roman" w:hAnsi="Times New Roman" w:cs="Times New Roman"/>
        </w:rPr>
        <w:t>SEDAR74-DW-01</w:t>
      </w:r>
      <w:r w:rsidRPr="004B6668">
        <w:rPr>
          <w:rFonts w:ascii="Times New Roman" w:hAnsi="Times New Roman" w:cs="Times New Roman"/>
        </w:rPr>
        <w:t xml:space="preserve">) </w:t>
      </w:r>
      <w:r w:rsidR="00272C9C" w:rsidRPr="004B6668">
        <w:rPr>
          <w:rFonts w:ascii="Times New Roman" w:hAnsi="Times New Roman" w:cs="Times New Roman"/>
        </w:rPr>
        <w:t>was</w:t>
      </w:r>
      <w:r w:rsidR="00F97DE9" w:rsidRPr="004B6668">
        <w:rPr>
          <w:rFonts w:ascii="Times New Roman" w:hAnsi="Times New Roman" w:cs="Times New Roman"/>
        </w:rPr>
        <w:t xml:space="preserve"> </w:t>
      </w:r>
      <w:r w:rsidR="00BF6E34" w:rsidRPr="004B6668">
        <w:rPr>
          <w:rFonts w:ascii="Times New Roman" w:hAnsi="Times New Roman" w:cs="Times New Roman"/>
        </w:rPr>
        <w:t xml:space="preserve">first </w:t>
      </w:r>
      <w:r w:rsidR="00F97DE9" w:rsidRPr="004B6668">
        <w:rPr>
          <w:rFonts w:ascii="Times New Roman" w:hAnsi="Times New Roman" w:cs="Times New Roman"/>
        </w:rPr>
        <w:t xml:space="preserve">filtered </w:t>
      </w:r>
      <w:r w:rsidR="00BF6E34" w:rsidRPr="004B6668">
        <w:rPr>
          <w:rFonts w:ascii="Times New Roman" w:hAnsi="Times New Roman" w:cs="Times New Roman"/>
        </w:rPr>
        <w:t xml:space="preserve">for </w:t>
      </w:r>
      <w:r w:rsidR="00183C34" w:rsidRPr="004B6668">
        <w:rPr>
          <w:rFonts w:ascii="Times New Roman" w:hAnsi="Times New Roman" w:cs="Times New Roman"/>
        </w:rPr>
        <w:t xml:space="preserve">the For-hire </w:t>
      </w:r>
      <w:r w:rsidR="00BF6E34" w:rsidRPr="004B6668">
        <w:rPr>
          <w:rFonts w:ascii="Times New Roman" w:hAnsi="Times New Roman" w:cs="Times New Roman"/>
        </w:rPr>
        <w:t xml:space="preserve">fishing component and </w:t>
      </w:r>
      <w:r w:rsidR="00183C34" w:rsidRPr="004B6668">
        <w:rPr>
          <w:rFonts w:ascii="Times New Roman" w:hAnsi="Times New Roman" w:cs="Times New Roman"/>
        </w:rPr>
        <w:t>partitioned by</w:t>
      </w:r>
      <w:r w:rsidR="00F97DE9" w:rsidRPr="004B6668">
        <w:rPr>
          <w:rFonts w:ascii="Times New Roman" w:hAnsi="Times New Roman" w:cs="Times New Roman"/>
        </w:rPr>
        <w:t xml:space="preserve"> </w:t>
      </w:r>
      <w:r w:rsidR="002F174A" w:rsidRPr="004B6668">
        <w:rPr>
          <w:rFonts w:ascii="Times New Roman" w:hAnsi="Times New Roman" w:cs="Times New Roman"/>
        </w:rPr>
        <w:t>f</w:t>
      </w:r>
      <w:r w:rsidRPr="004B6668">
        <w:rPr>
          <w:rFonts w:ascii="Times New Roman" w:hAnsi="Times New Roman" w:cs="Times New Roman"/>
        </w:rPr>
        <w:t>ederal season</w:t>
      </w:r>
      <w:r w:rsidR="0009641F" w:rsidRPr="004B6668">
        <w:rPr>
          <w:rFonts w:ascii="Times New Roman" w:hAnsi="Times New Roman" w:cs="Times New Roman"/>
        </w:rPr>
        <w:t xml:space="preserve"> status</w:t>
      </w:r>
      <w:r w:rsidR="00272C9C" w:rsidRPr="004B6668">
        <w:rPr>
          <w:rFonts w:ascii="Times New Roman" w:hAnsi="Times New Roman" w:cs="Times New Roman"/>
        </w:rPr>
        <w:t xml:space="preserve"> (fed_closed)</w:t>
      </w:r>
      <w:r w:rsidR="00BF6E34" w:rsidRPr="004B6668">
        <w:rPr>
          <w:rFonts w:ascii="Times New Roman" w:hAnsi="Times New Roman" w:cs="Times New Roman"/>
        </w:rPr>
        <w:t xml:space="preserve">. A </w:t>
      </w:r>
      <w:r w:rsidR="00183C34" w:rsidRPr="004B6668">
        <w:rPr>
          <w:rFonts w:ascii="Times New Roman" w:hAnsi="Times New Roman" w:cs="Times New Roman"/>
        </w:rPr>
        <w:t xml:space="preserve">discard </w:t>
      </w:r>
      <w:r w:rsidR="00272C9C" w:rsidRPr="004B6668">
        <w:rPr>
          <w:rFonts w:ascii="Times New Roman" w:hAnsi="Times New Roman" w:cs="Times New Roman"/>
        </w:rPr>
        <w:t>summary was</w:t>
      </w:r>
      <w:r w:rsidR="00BF6E34" w:rsidRPr="004B6668">
        <w:rPr>
          <w:rFonts w:ascii="Times New Roman" w:hAnsi="Times New Roman" w:cs="Times New Roman"/>
        </w:rPr>
        <w:t xml:space="preserve"> created for each federal season</w:t>
      </w:r>
      <w:r w:rsidR="0009641F" w:rsidRPr="004B6668">
        <w:rPr>
          <w:rFonts w:ascii="Times New Roman" w:hAnsi="Times New Roman" w:cs="Times New Roman"/>
        </w:rPr>
        <w:t xml:space="preserve"> status</w:t>
      </w:r>
      <w:r w:rsidR="00BF6E34" w:rsidRPr="004B6668">
        <w:rPr>
          <w:rFonts w:ascii="Times New Roman" w:hAnsi="Times New Roman" w:cs="Times New Roman"/>
        </w:rPr>
        <w:t xml:space="preserve"> level</w:t>
      </w:r>
      <w:r w:rsidR="00272C9C" w:rsidRPr="004B6668">
        <w:rPr>
          <w:rFonts w:ascii="Times New Roman" w:hAnsi="Times New Roman" w:cs="Times New Roman"/>
        </w:rPr>
        <w:t xml:space="preserve"> (3)</w:t>
      </w:r>
      <w:r w:rsidR="00BF6E34" w:rsidRPr="004B6668">
        <w:rPr>
          <w:rFonts w:ascii="Times New Roman" w:hAnsi="Times New Roman" w:cs="Times New Roman"/>
        </w:rPr>
        <w:t>. The factor levels</w:t>
      </w:r>
      <w:r w:rsidR="0009641F" w:rsidRPr="004B6668">
        <w:rPr>
          <w:rFonts w:ascii="Times New Roman" w:hAnsi="Times New Roman" w:cs="Times New Roman"/>
        </w:rPr>
        <w:t xml:space="preserve"> for each record determine if the catch took place during a wave when the federal season was</w:t>
      </w:r>
      <w:r w:rsidRPr="004B6668">
        <w:rPr>
          <w:rFonts w:ascii="Times New Roman" w:hAnsi="Times New Roman" w:cs="Times New Roman"/>
        </w:rPr>
        <w:t xml:space="preserve"> </w:t>
      </w:r>
      <w:r w:rsidR="0009641F" w:rsidRPr="004B6668">
        <w:rPr>
          <w:rFonts w:ascii="Times New Roman" w:hAnsi="Times New Roman" w:cs="Times New Roman"/>
          <w:i/>
        </w:rPr>
        <w:t>O</w:t>
      </w:r>
      <w:r w:rsidRPr="004B6668">
        <w:rPr>
          <w:rFonts w:ascii="Times New Roman" w:hAnsi="Times New Roman" w:cs="Times New Roman"/>
          <w:i/>
        </w:rPr>
        <w:t>pen</w:t>
      </w:r>
      <w:r w:rsidRPr="004B6668">
        <w:rPr>
          <w:rFonts w:ascii="Times New Roman" w:hAnsi="Times New Roman" w:cs="Times New Roman"/>
        </w:rPr>
        <w:t xml:space="preserve">, </w:t>
      </w:r>
      <w:r w:rsidR="0009641F" w:rsidRPr="004B6668">
        <w:rPr>
          <w:rFonts w:ascii="Times New Roman" w:hAnsi="Times New Roman" w:cs="Times New Roman"/>
          <w:i/>
        </w:rPr>
        <w:t>C</w:t>
      </w:r>
      <w:r w:rsidRPr="004B6668">
        <w:rPr>
          <w:rFonts w:ascii="Times New Roman" w:hAnsi="Times New Roman" w:cs="Times New Roman"/>
          <w:i/>
        </w:rPr>
        <w:t>losed</w:t>
      </w:r>
      <w:r w:rsidR="00BF6E34" w:rsidRPr="004B6668">
        <w:rPr>
          <w:rFonts w:ascii="Times New Roman" w:hAnsi="Times New Roman" w:cs="Times New Roman"/>
        </w:rPr>
        <w:t>,</w:t>
      </w:r>
      <w:r w:rsidRPr="004B6668">
        <w:rPr>
          <w:rFonts w:ascii="Times New Roman" w:hAnsi="Times New Roman" w:cs="Times New Roman"/>
        </w:rPr>
        <w:t xml:space="preserve"> or </w:t>
      </w:r>
      <w:r w:rsidR="0009641F" w:rsidRPr="004B6668">
        <w:rPr>
          <w:rFonts w:ascii="Times New Roman" w:hAnsi="Times New Roman" w:cs="Times New Roman"/>
          <w:i/>
        </w:rPr>
        <w:t>B</w:t>
      </w:r>
      <w:r w:rsidRPr="004B6668">
        <w:rPr>
          <w:rFonts w:ascii="Times New Roman" w:hAnsi="Times New Roman" w:cs="Times New Roman"/>
          <w:i/>
        </w:rPr>
        <w:t>oth</w:t>
      </w:r>
      <w:r w:rsidRPr="004B6668">
        <w:rPr>
          <w:rFonts w:ascii="Times New Roman" w:hAnsi="Times New Roman" w:cs="Times New Roman"/>
        </w:rPr>
        <w:t xml:space="preserve"> (fed_closed </w:t>
      </w:r>
      <w:r w:rsidR="00444662" w:rsidRPr="004B6668">
        <w:rPr>
          <w:rFonts w:ascii="Times New Roman" w:hAnsi="Times New Roman" w:cs="Times New Roman"/>
        </w:rPr>
        <w:t>= 0</w:t>
      </w:r>
      <w:r w:rsidR="00183C34" w:rsidRPr="004B6668">
        <w:rPr>
          <w:rFonts w:ascii="Times New Roman" w:hAnsi="Times New Roman" w:cs="Times New Roman"/>
        </w:rPr>
        <w:t xml:space="preserve">, </w:t>
      </w:r>
      <w:r w:rsidRPr="004B6668">
        <w:rPr>
          <w:rFonts w:ascii="Times New Roman" w:hAnsi="Times New Roman" w:cs="Times New Roman"/>
        </w:rPr>
        <w:t>2</w:t>
      </w:r>
      <w:r w:rsidR="00183C34" w:rsidRPr="004B6668">
        <w:rPr>
          <w:rFonts w:ascii="Times New Roman" w:hAnsi="Times New Roman" w:cs="Times New Roman"/>
        </w:rPr>
        <w:t>, 1</w:t>
      </w:r>
      <w:r w:rsidRPr="004B6668">
        <w:rPr>
          <w:rFonts w:ascii="Times New Roman" w:hAnsi="Times New Roman" w:cs="Times New Roman"/>
        </w:rPr>
        <w:t>).</w:t>
      </w:r>
      <w:r w:rsidR="00183C34" w:rsidRPr="004B6668">
        <w:rPr>
          <w:rFonts w:ascii="Times New Roman" w:hAnsi="Times New Roman" w:cs="Times New Roman"/>
        </w:rPr>
        <w:t xml:space="preserve"> The discard summary </w:t>
      </w:r>
      <w:r w:rsidR="00272C9C" w:rsidRPr="004B6668">
        <w:rPr>
          <w:rFonts w:ascii="Times New Roman" w:hAnsi="Times New Roman" w:cs="Times New Roman"/>
        </w:rPr>
        <w:t xml:space="preserve">was </w:t>
      </w:r>
      <w:r w:rsidR="0009641F" w:rsidRPr="004B6668">
        <w:rPr>
          <w:rFonts w:ascii="Times New Roman" w:hAnsi="Times New Roman" w:cs="Times New Roman"/>
        </w:rPr>
        <w:t>created in terms of</w:t>
      </w:r>
      <w:r w:rsidR="00183C34" w:rsidRPr="004B6668">
        <w:rPr>
          <w:rFonts w:ascii="Times New Roman" w:hAnsi="Times New Roman" w:cs="Times New Roman"/>
        </w:rPr>
        <w:t xml:space="preserve"> year, wave, and stock ID region</w:t>
      </w:r>
      <w:r w:rsidR="00CA2ECB" w:rsidRPr="004B6668">
        <w:rPr>
          <w:rFonts w:ascii="Times New Roman" w:hAnsi="Times New Roman" w:cs="Times New Roman"/>
        </w:rPr>
        <w:t xml:space="preserve"> (Gulf)</w:t>
      </w:r>
      <w:r w:rsidR="00183C34" w:rsidRPr="004B6668">
        <w:rPr>
          <w:rFonts w:ascii="Times New Roman" w:hAnsi="Times New Roman" w:cs="Times New Roman"/>
        </w:rPr>
        <w:t>.</w:t>
      </w:r>
    </w:p>
    <w:p w:rsidR="0070339C" w:rsidRPr="004B6668" w:rsidRDefault="00183C34" w:rsidP="00E86962">
      <w:pPr>
        <w:rPr>
          <w:rFonts w:ascii="Times New Roman" w:hAnsi="Times New Roman" w:cs="Times New Roman"/>
        </w:rPr>
      </w:pPr>
      <w:r w:rsidRPr="004B6668">
        <w:rPr>
          <w:rFonts w:ascii="Times New Roman" w:hAnsi="Times New Roman" w:cs="Times New Roman"/>
        </w:rPr>
        <w:t>W</w:t>
      </w:r>
      <w:r w:rsidR="00272C9C" w:rsidRPr="004B6668">
        <w:rPr>
          <w:rFonts w:ascii="Times New Roman" w:hAnsi="Times New Roman" w:cs="Times New Roman"/>
        </w:rPr>
        <w:t>hen there were</w:t>
      </w:r>
      <w:r w:rsidRPr="004B6668">
        <w:rPr>
          <w:rFonts w:ascii="Times New Roman" w:hAnsi="Times New Roman" w:cs="Times New Roman"/>
        </w:rPr>
        <w:t xml:space="preserve"> both </w:t>
      </w:r>
      <w:r w:rsidR="00C03806" w:rsidRPr="004B6668">
        <w:rPr>
          <w:rFonts w:ascii="Times New Roman" w:hAnsi="Times New Roman" w:cs="Times New Roman"/>
        </w:rPr>
        <w:t>open an</w:t>
      </w:r>
      <w:r w:rsidRPr="004B6668">
        <w:rPr>
          <w:rFonts w:ascii="Times New Roman" w:hAnsi="Times New Roman" w:cs="Times New Roman"/>
        </w:rPr>
        <w:t xml:space="preserve">d </w:t>
      </w:r>
      <w:r w:rsidR="00C03806" w:rsidRPr="004B6668">
        <w:rPr>
          <w:rFonts w:ascii="Times New Roman" w:hAnsi="Times New Roman" w:cs="Times New Roman"/>
        </w:rPr>
        <w:t>closed days</w:t>
      </w:r>
      <w:r w:rsidRPr="004B6668">
        <w:rPr>
          <w:rFonts w:ascii="Times New Roman" w:hAnsi="Times New Roman" w:cs="Times New Roman"/>
        </w:rPr>
        <w:t xml:space="preserve"> in a wave</w:t>
      </w:r>
      <w:r w:rsidR="00EB05E9" w:rsidRPr="004B6668">
        <w:rPr>
          <w:rFonts w:ascii="Times New Roman" w:hAnsi="Times New Roman" w:cs="Times New Roman"/>
        </w:rPr>
        <w:t xml:space="preserve"> (fed_closed =1)</w:t>
      </w:r>
      <w:r w:rsidR="007C1D21" w:rsidRPr="004B6668">
        <w:rPr>
          <w:rFonts w:ascii="Times New Roman" w:hAnsi="Times New Roman" w:cs="Times New Roman"/>
        </w:rPr>
        <w:t>, the open season discards were calculated by multiplying</w:t>
      </w:r>
      <w:r w:rsidR="00C03806" w:rsidRPr="004B6668">
        <w:rPr>
          <w:rFonts w:ascii="Times New Roman" w:hAnsi="Times New Roman" w:cs="Times New Roman"/>
        </w:rPr>
        <w:t xml:space="preserve"> the number of </w:t>
      </w:r>
      <w:r w:rsidRPr="004B6668">
        <w:rPr>
          <w:rFonts w:ascii="Times New Roman" w:hAnsi="Times New Roman" w:cs="Times New Roman"/>
        </w:rPr>
        <w:t>summarized discards by year, wave and stock ID region</w:t>
      </w:r>
      <w:r w:rsidR="00C03806" w:rsidRPr="004B6668">
        <w:rPr>
          <w:rFonts w:ascii="Times New Roman" w:hAnsi="Times New Roman" w:cs="Times New Roman"/>
        </w:rPr>
        <w:t xml:space="preserve"> by the</w:t>
      </w:r>
      <w:r w:rsidR="00F97DE9" w:rsidRPr="004B6668">
        <w:rPr>
          <w:rFonts w:ascii="Times New Roman" w:hAnsi="Times New Roman" w:cs="Times New Roman"/>
        </w:rPr>
        <w:t xml:space="preserve"> proportion of days open</w:t>
      </w:r>
      <w:r w:rsidRPr="004B6668">
        <w:rPr>
          <w:rFonts w:ascii="Times New Roman" w:hAnsi="Times New Roman" w:cs="Times New Roman"/>
        </w:rPr>
        <w:t xml:space="preserve"> in that year and wave (no matter the stock ID region)</w:t>
      </w:r>
      <w:r w:rsidR="00F97DE9" w:rsidRPr="004B6668">
        <w:rPr>
          <w:rFonts w:ascii="Times New Roman" w:hAnsi="Times New Roman" w:cs="Times New Roman"/>
        </w:rPr>
        <w:t xml:space="preserve">. </w:t>
      </w:r>
      <w:r w:rsidR="0009641F" w:rsidRPr="004B6668">
        <w:rPr>
          <w:rFonts w:ascii="Times New Roman" w:hAnsi="Times New Roman" w:cs="Times New Roman"/>
        </w:rPr>
        <w:t>To determine the number of discards observed during the closed portion of the wave, t</w:t>
      </w:r>
      <w:r w:rsidR="00F97DE9" w:rsidRPr="004B6668">
        <w:rPr>
          <w:rFonts w:ascii="Times New Roman" w:hAnsi="Times New Roman" w:cs="Times New Roman"/>
        </w:rPr>
        <w:t xml:space="preserve">he resulting number of </w:t>
      </w:r>
      <w:r w:rsidR="007C1D21" w:rsidRPr="004B6668">
        <w:rPr>
          <w:rFonts w:ascii="Times New Roman" w:hAnsi="Times New Roman" w:cs="Times New Roman"/>
        </w:rPr>
        <w:t xml:space="preserve">open season </w:t>
      </w:r>
      <w:r w:rsidR="00F97DE9" w:rsidRPr="004B6668">
        <w:rPr>
          <w:rFonts w:ascii="Times New Roman" w:hAnsi="Times New Roman" w:cs="Times New Roman"/>
        </w:rPr>
        <w:t>discards</w:t>
      </w:r>
      <w:r w:rsidR="002F174A" w:rsidRPr="004B6668">
        <w:rPr>
          <w:rFonts w:ascii="Times New Roman" w:hAnsi="Times New Roman" w:cs="Times New Roman"/>
        </w:rPr>
        <w:t xml:space="preserve"> </w:t>
      </w:r>
      <w:r w:rsidRPr="004B6668">
        <w:rPr>
          <w:rFonts w:ascii="Times New Roman" w:hAnsi="Times New Roman" w:cs="Times New Roman"/>
        </w:rPr>
        <w:lastRenderedPageBreak/>
        <w:t>by year, wave and stock ID</w:t>
      </w:r>
      <w:r w:rsidR="00272C9C" w:rsidRPr="004B6668">
        <w:rPr>
          <w:rFonts w:ascii="Times New Roman" w:hAnsi="Times New Roman" w:cs="Times New Roman"/>
        </w:rPr>
        <w:t xml:space="preserve"> region w</w:t>
      </w:r>
      <w:r w:rsidR="007C1D21" w:rsidRPr="004B6668">
        <w:rPr>
          <w:rFonts w:ascii="Times New Roman" w:hAnsi="Times New Roman" w:cs="Times New Roman"/>
        </w:rPr>
        <w:t>ere</w:t>
      </w:r>
      <w:r w:rsidR="00272C9C" w:rsidRPr="004B6668">
        <w:rPr>
          <w:rFonts w:ascii="Times New Roman" w:hAnsi="Times New Roman" w:cs="Times New Roman"/>
        </w:rPr>
        <w:t xml:space="preserve"> summarized across waves and </w:t>
      </w:r>
      <w:r w:rsidR="009D587B" w:rsidRPr="004B6668">
        <w:rPr>
          <w:rFonts w:ascii="Times New Roman" w:hAnsi="Times New Roman" w:cs="Times New Roman"/>
        </w:rPr>
        <w:t>subtracted</w:t>
      </w:r>
      <w:r w:rsidR="00C03806" w:rsidRPr="004B6668">
        <w:rPr>
          <w:rFonts w:ascii="Times New Roman" w:hAnsi="Times New Roman" w:cs="Times New Roman"/>
        </w:rPr>
        <w:t xml:space="preserve"> from the total number of discards</w:t>
      </w:r>
      <w:r w:rsidRPr="004B6668">
        <w:rPr>
          <w:rFonts w:ascii="Times New Roman" w:hAnsi="Times New Roman" w:cs="Times New Roman"/>
        </w:rPr>
        <w:t xml:space="preserve"> in that year and region</w:t>
      </w:r>
      <w:r w:rsidR="003A540B" w:rsidRPr="004B6668">
        <w:rPr>
          <w:rFonts w:ascii="Times New Roman" w:hAnsi="Times New Roman" w:cs="Times New Roman"/>
        </w:rPr>
        <w:t xml:space="preserve"> (across all waves)</w:t>
      </w:r>
      <w:r w:rsidR="0009641F" w:rsidRPr="004B6668">
        <w:rPr>
          <w:rFonts w:ascii="Times New Roman" w:hAnsi="Times New Roman" w:cs="Times New Roman"/>
        </w:rPr>
        <w:t>.</w:t>
      </w:r>
      <w:r w:rsidR="003F5586" w:rsidRPr="004B6668">
        <w:rPr>
          <w:rFonts w:ascii="Times New Roman" w:hAnsi="Times New Roman" w:cs="Times New Roman"/>
        </w:rPr>
        <w:t xml:space="preserve"> Resulting in annul discards by stock ID region and season (open/closed). </w:t>
      </w:r>
    </w:p>
    <w:p w:rsidR="00F97DE9" w:rsidRPr="004B6668" w:rsidRDefault="003A540B">
      <w:pPr>
        <w:rPr>
          <w:rFonts w:ascii="Times New Roman" w:hAnsi="Times New Roman" w:cs="Times New Roman"/>
        </w:rPr>
      </w:pPr>
      <w:r w:rsidRPr="004B6668">
        <w:rPr>
          <w:rFonts w:ascii="Times New Roman" w:hAnsi="Times New Roman" w:cs="Times New Roman"/>
        </w:rPr>
        <w:t>W</w:t>
      </w:r>
      <w:r w:rsidR="00F97DE9" w:rsidRPr="004B6668">
        <w:rPr>
          <w:rFonts w:ascii="Times New Roman" w:hAnsi="Times New Roman" w:cs="Times New Roman"/>
        </w:rPr>
        <w:t xml:space="preserve">hen </w:t>
      </w:r>
      <w:r w:rsidR="001C0AAF" w:rsidRPr="004B6668">
        <w:rPr>
          <w:rFonts w:ascii="Times New Roman" w:hAnsi="Times New Roman" w:cs="Times New Roman"/>
        </w:rPr>
        <w:t>the wave</w:t>
      </w:r>
      <w:r w:rsidR="00F97DE9" w:rsidRPr="004B6668">
        <w:rPr>
          <w:rFonts w:ascii="Times New Roman" w:hAnsi="Times New Roman" w:cs="Times New Roman"/>
        </w:rPr>
        <w:t xml:space="preserve"> was completely open (fed_closed = 0)</w:t>
      </w:r>
      <w:r w:rsidR="003F5586" w:rsidRPr="004B6668">
        <w:rPr>
          <w:rFonts w:ascii="Times New Roman" w:hAnsi="Times New Roman" w:cs="Times New Roman"/>
        </w:rPr>
        <w:t xml:space="preserve">, the </w:t>
      </w:r>
      <w:r w:rsidRPr="004B6668">
        <w:rPr>
          <w:rFonts w:ascii="Times New Roman" w:hAnsi="Times New Roman" w:cs="Times New Roman"/>
        </w:rPr>
        <w:t>discards</w:t>
      </w:r>
      <w:r w:rsidR="00F97DE9" w:rsidRPr="004B6668">
        <w:rPr>
          <w:rFonts w:ascii="Times New Roman" w:hAnsi="Times New Roman" w:cs="Times New Roman"/>
        </w:rPr>
        <w:t xml:space="preserve"> </w:t>
      </w:r>
      <w:r w:rsidR="004F4114" w:rsidRPr="004B6668">
        <w:rPr>
          <w:rFonts w:ascii="Times New Roman" w:hAnsi="Times New Roman" w:cs="Times New Roman"/>
        </w:rPr>
        <w:t xml:space="preserve">in terms of year, and stock ID region </w:t>
      </w:r>
      <w:r w:rsidR="003F5586" w:rsidRPr="004B6668">
        <w:rPr>
          <w:rFonts w:ascii="Times New Roman" w:hAnsi="Times New Roman" w:cs="Times New Roman"/>
        </w:rPr>
        <w:t xml:space="preserve">were </w:t>
      </w:r>
      <w:r w:rsidR="00F97DE9" w:rsidRPr="004B6668">
        <w:rPr>
          <w:rFonts w:ascii="Times New Roman" w:hAnsi="Times New Roman" w:cs="Times New Roman"/>
        </w:rPr>
        <w:t xml:space="preserve">added to the </w:t>
      </w:r>
      <w:r w:rsidR="008509D0" w:rsidRPr="004B6668">
        <w:rPr>
          <w:rFonts w:ascii="Times New Roman" w:hAnsi="Times New Roman" w:cs="Times New Roman"/>
        </w:rPr>
        <w:t xml:space="preserve">open season </w:t>
      </w:r>
      <w:r w:rsidR="00F97DE9" w:rsidRPr="004B6668">
        <w:rPr>
          <w:rFonts w:ascii="Times New Roman" w:hAnsi="Times New Roman" w:cs="Times New Roman"/>
        </w:rPr>
        <w:t>discards</w:t>
      </w:r>
      <w:r w:rsidR="008509D0" w:rsidRPr="004B6668">
        <w:rPr>
          <w:rFonts w:ascii="Times New Roman" w:hAnsi="Times New Roman" w:cs="Times New Roman"/>
        </w:rPr>
        <w:t xml:space="preserve"> calculated when fed_closed equaled one (see above)</w:t>
      </w:r>
      <w:r w:rsidR="00F97DE9" w:rsidRPr="004B6668">
        <w:rPr>
          <w:rFonts w:ascii="Times New Roman" w:hAnsi="Times New Roman" w:cs="Times New Roman"/>
        </w:rPr>
        <w:t xml:space="preserve"> </w:t>
      </w:r>
      <w:r w:rsidR="001C0AAF" w:rsidRPr="004B6668">
        <w:rPr>
          <w:rFonts w:ascii="Times New Roman" w:hAnsi="Times New Roman" w:cs="Times New Roman"/>
        </w:rPr>
        <w:t>f</w:t>
      </w:r>
      <w:r w:rsidR="008509D0" w:rsidRPr="004B6668">
        <w:rPr>
          <w:rFonts w:ascii="Times New Roman" w:hAnsi="Times New Roman" w:cs="Times New Roman"/>
        </w:rPr>
        <w:t>or</w:t>
      </w:r>
      <w:r w:rsidR="001C0AAF" w:rsidRPr="004B6668">
        <w:rPr>
          <w:rFonts w:ascii="Times New Roman" w:hAnsi="Times New Roman" w:cs="Times New Roman"/>
        </w:rPr>
        <w:t xml:space="preserve"> th</w:t>
      </w:r>
      <w:r w:rsidRPr="004B6668">
        <w:rPr>
          <w:rFonts w:ascii="Times New Roman" w:hAnsi="Times New Roman" w:cs="Times New Roman"/>
        </w:rPr>
        <w:t>e</w:t>
      </w:r>
      <w:r w:rsidR="001C0AAF" w:rsidRPr="004B6668">
        <w:rPr>
          <w:rFonts w:ascii="Times New Roman" w:hAnsi="Times New Roman" w:cs="Times New Roman"/>
        </w:rPr>
        <w:t xml:space="preserve"> </w:t>
      </w:r>
      <w:r w:rsidR="008509D0" w:rsidRPr="004B6668">
        <w:rPr>
          <w:rFonts w:ascii="Times New Roman" w:hAnsi="Times New Roman" w:cs="Times New Roman"/>
        </w:rPr>
        <w:t xml:space="preserve">same </w:t>
      </w:r>
      <w:r w:rsidR="004F4114" w:rsidRPr="004B6668">
        <w:rPr>
          <w:rFonts w:ascii="Times New Roman" w:hAnsi="Times New Roman" w:cs="Times New Roman"/>
        </w:rPr>
        <w:t xml:space="preserve">year, and </w:t>
      </w:r>
      <w:r w:rsidR="001C0AAF" w:rsidRPr="004B6668">
        <w:rPr>
          <w:rFonts w:ascii="Times New Roman" w:hAnsi="Times New Roman" w:cs="Times New Roman"/>
        </w:rPr>
        <w:t xml:space="preserve">stock ID </w:t>
      </w:r>
      <w:r w:rsidR="004F4114" w:rsidRPr="004B6668">
        <w:rPr>
          <w:rFonts w:ascii="Times New Roman" w:hAnsi="Times New Roman" w:cs="Times New Roman"/>
        </w:rPr>
        <w:t>region</w:t>
      </w:r>
      <w:r w:rsidR="008509D0" w:rsidRPr="004B6668">
        <w:rPr>
          <w:rFonts w:ascii="Times New Roman" w:hAnsi="Times New Roman" w:cs="Times New Roman"/>
        </w:rPr>
        <w:t>s</w:t>
      </w:r>
      <w:r w:rsidR="001C0AAF" w:rsidRPr="004B6668">
        <w:rPr>
          <w:rFonts w:ascii="Times New Roman" w:hAnsi="Times New Roman" w:cs="Times New Roman"/>
        </w:rPr>
        <w:t xml:space="preserve">. </w:t>
      </w:r>
      <w:r w:rsidRPr="004B6668">
        <w:rPr>
          <w:rFonts w:ascii="Times New Roman" w:hAnsi="Times New Roman" w:cs="Times New Roman"/>
        </w:rPr>
        <w:t>Similarly, t</w:t>
      </w:r>
      <w:r w:rsidR="001C0AAF" w:rsidRPr="004B6668">
        <w:rPr>
          <w:rFonts w:ascii="Times New Roman" w:hAnsi="Times New Roman" w:cs="Times New Roman"/>
        </w:rPr>
        <w:t xml:space="preserve">he closed season portion of </w:t>
      </w:r>
      <w:r w:rsidRPr="004B6668">
        <w:rPr>
          <w:rFonts w:ascii="Times New Roman" w:hAnsi="Times New Roman" w:cs="Times New Roman"/>
        </w:rPr>
        <w:t>discards</w:t>
      </w:r>
      <w:r w:rsidR="001C0AAF" w:rsidRPr="004B6668">
        <w:rPr>
          <w:rFonts w:ascii="Times New Roman" w:hAnsi="Times New Roman" w:cs="Times New Roman"/>
        </w:rPr>
        <w:t xml:space="preserve"> </w:t>
      </w:r>
      <w:r w:rsidR="004F4114" w:rsidRPr="004B6668">
        <w:rPr>
          <w:rFonts w:ascii="Times New Roman" w:hAnsi="Times New Roman" w:cs="Times New Roman"/>
        </w:rPr>
        <w:t>from fed_</w:t>
      </w:r>
      <w:r w:rsidR="003F5586" w:rsidRPr="004B6668">
        <w:rPr>
          <w:rFonts w:ascii="Times New Roman" w:hAnsi="Times New Roman" w:cs="Times New Roman"/>
        </w:rPr>
        <w:t>closed equal to one</w:t>
      </w:r>
      <w:r w:rsidR="004F4114" w:rsidRPr="004B6668">
        <w:rPr>
          <w:rFonts w:ascii="Times New Roman" w:hAnsi="Times New Roman" w:cs="Times New Roman"/>
        </w:rPr>
        <w:t>, is</w:t>
      </w:r>
      <w:r w:rsidR="001C0AAF" w:rsidRPr="004B6668">
        <w:rPr>
          <w:rFonts w:ascii="Times New Roman" w:hAnsi="Times New Roman" w:cs="Times New Roman"/>
        </w:rPr>
        <w:t xml:space="preserve"> added to discards when the wave is completely </w:t>
      </w:r>
      <w:r w:rsidR="004F4114" w:rsidRPr="004B6668">
        <w:rPr>
          <w:rFonts w:ascii="Times New Roman" w:hAnsi="Times New Roman" w:cs="Times New Roman"/>
        </w:rPr>
        <w:t>closed</w:t>
      </w:r>
      <w:r w:rsidR="001C0AAF" w:rsidRPr="004B6668">
        <w:rPr>
          <w:rFonts w:ascii="Times New Roman" w:hAnsi="Times New Roman" w:cs="Times New Roman"/>
        </w:rPr>
        <w:t xml:space="preserve"> (fed_closed = 2). The</w:t>
      </w:r>
      <w:r w:rsidR="004F4114" w:rsidRPr="004B6668">
        <w:rPr>
          <w:rFonts w:ascii="Times New Roman" w:hAnsi="Times New Roman" w:cs="Times New Roman"/>
        </w:rPr>
        <w:t xml:space="preserve"> discards </w:t>
      </w:r>
      <w:r w:rsidR="001C0AAF" w:rsidRPr="004B6668">
        <w:rPr>
          <w:rFonts w:ascii="Times New Roman" w:hAnsi="Times New Roman" w:cs="Times New Roman"/>
        </w:rPr>
        <w:t>are summarized as open and closed season discards for each stock id region</w:t>
      </w:r>
      <w:r w:rsidR="004F4114" w:rsidRPr="004B6668">
        <w:rPr>
          <w:rFonts w:ascii="Times New Roman" w:hAnsi="Times New Roman" w:cs="Times New Roman"/>
        </w:rPr>
        <w:t>,</w:t>
      </w:r>
      <w:r w:rsidR="001C0AAF" w:rsidRPr="004B6668">
        <w:rPr>
          <w:rFonts w:ascii="Times New Roman" w:hAnsi="Times New Roman" w:cs="Times New Roman"/>
        </w:rPr>
        <w:t xml:space="preserve"> each year in numbers from 1986-2019</w:t>
      </w:r>
      <w:r w:rsidR="006D6CD6" w:rsidRPr="004B6668">
        <w:rPr>
          <w:rFonts w:ascii="Times New Roman" w:hAnsi="Times New Roman" w:cs="Times New Roman"/>
        </w:rPr>
        <w:t xml:space="preserve"> (see 2_Charter_ForHire_Discards.R script in GitHub repository)</w:t>
      </w:r>
      <w:r w:rsidR="001C0AAF" w:rsidRPr="004B6668">
        <w:rPr>
          <w:rFonts w:ascii="Times New Roman" w:hAnsi="Times New Roman" w:cs="Times New Roman"/>
        </w:rPr>
        <w:t>.</w:t>
      </w:r>
    </w:p>
    <w:p w:rsidR="004F4114" w:rsidRPr="00ED4870" w:rsidRDefault="004F4114" w:rsidP="00916459">
      <w:pPr>
        <w:pStyle w:val="Heading3"/>
        <w:rPr>
          <w:rFonts w:ascii="Times New Roman" w:hAnsi="Times New Roman" w:cs="Times New Roman"/>
          <w:sz w:val="22"/>
          <w:szCs w:val="22"/>
        </w:rPr>
      </w:pPr>
      <w:r w:rsidRPr="00ED4870">
        <w:rPr>
          <w:rFonts w:ascii="Times New Roman" w:hAnsi="Times New Roman" w:cs="Times New Roman"/>
          <w:sz w:val="22"/>
          <w:szCs w:val="22"/>
        </w:rPr>
        <w:t>Private Component</w:t>
      </w:r>
    </w:p>
    <w:p w:rsidR="00222139" w:rsidRPr="004B6668" w:rsidRDefault="001C0AAF">
      <w:pPr>
        <w:rPr>
          <w:rFonts w:ascii="Times New Roman" w:hAnsi="Times New Roman" w:cs="Times New Roman"/>
        </w:rPr>
      </w:pPr>
      <w:r w:rsidRPr="004B6668">
        <w:rPr>
          <w:rFonts w:ascii="Times New Roman" w:hAnsi="Times New Roman" w:cs="Times New Roman"/>
        </w:rPr>
        <w:t xml:space="preserve">For the </w:t>
      </w:r>
      <w:r w:rsidR="004F4114" w:rsidRPr="004B6668">
        <w:rPr>
          <w:rFonts w:ascii="Times New Roman" w:hAnsi="Times New Roman" w:cs="Times New Roman"/>
        </w:rPr>
        <w:t>recreational fishing</w:t>
      </w:r>
      <w:r w:rsidRPr="004B6668">
        <w:rPr>
          <w:rFonts w:ascii="Times New Roman" w:hAnsi="Times New Roman" w:cs="Times New Roman"/>
        </w:rPr>
        <w:t xml:space="preserve"> </w:t>
      </w:r>
      <w:r w:rsidR="004F4114" w:rsidRPr="004B6668">
        <w:rPr>
          <w:rFonts w:ascii="Times New Roman" w:hAnsi="Times New Roman" w:cs="Times New Roman"/>
        </w:rPr>
        <w:t xml:space="preserve">private component, similar </w:t>
      </w:r>
      <w:r w:rsidR="003C2023" w:rsidRPr="004B6668">
        <w:rPr>
          <w:rFonts w:ascii="Times New Roman" w:hAnsi="Times New Roman" w:cs="Times New Roman"/>
        </w:rPr>
        <w:t xml:space="preserve">steps </w:t>
      </w:r>
      <w:r w:rsidR="0040294C" w:rsidRPr="004B6668">
        <w:rPr>
          <w:rFonts w:ascii="Times New Roman" w:hAnsi="Times New Roman" w:cs="Times New Roman"/>
        </w:rPr>
        <w:t xml:space="preserve">as those used for the for-hire component were </w:t>
      </w:r>
      <w:r w:rsidR="003C2023" w:rsidRPr="004B6668">
        <w:rPr>
          <w:rFonts w:ascii="Times New Roman" w:hAnsi="Times New Roman" w:cs="Times New Roman"/>
        </w:rPr>
        <w:t>followed until 201</w:t>
      </w:r>
      <w:r w:rsidR="0040294C" w:rsidRPr="004B6668">
        <w:rPr>
          <w:rFonts w:ascii="Times New Roman" w:hAnsi="Times New Roman" w:cs="Times New Roman"/>
        </w:rPr>
        <w:t>3</w:t>
      </w:r>
      <w:r w:rsidR="003C2023" w:rsidRPr="004B6668">
        <w:rPr>
          <w:rFonts w:ascii="Times New Roman" w:hAnsi="Times New Roman" w:cs="Times New Roman"/>
        </w:rPr>
        <w:t xml:space="preserve">. </w:t>
      </w:r>
    </w:p>
    <w:p w:rsidR="001C0AAF" w:rsidRPr="004B6668" w:rsidRDefault="0040294C">
      <w:pPr>
        <w:rPr>
          <w:rFonts w:ascii="Times New Roman" w:hAnsi="Times New Roman" w:cs="Times New Roman"/>
        </w:rPr>
      </w:pPr>
      <w:r w:rsidRPr="004B6668">
        <w:rPr>
          <w:rFonts w:ascii="Times New Roman" w:hAnsi="Times New Roman" w:cs="Times New Roman"/>
        </w:rPr>
        <w:t>From</w:t>
      </w:r>
      <w:r w:rsidR="003C2023" w:rsidRPr="004B6668">
        <w:rPr>
          <w:rFonts w:ascii="Times New Roman" w:hAnsi="Times New Roman" w:cs="Times New Roman"/>
        </w:rPr>
        <w:t xml:space="preserve"> 2013 </w:t>
      </w:r>
      <w:r w:rsidRPr="004B6668">
        <w:rPr>
          <w:rFonts w:ascii="Times New Roman" w:hAnsi="Times New Roman" w:cs="Times New Roman"/>
        </w:rPr>
        <w:t>to</w:t>
      </w:r>
      <w:r w:rsidR="003C2023" w:rsidRPr="004B6668">
        <w:rPr>
          <w:rFonts w:ascii="Times New Roman" w:hAnsi="Times New Roman" w:cs="Times New Roman"/>
        </w:rPr>
        <w:t xml:space="preserve"> 2016 the </w:t>
      </w:r>
      <w:r w:rsidR="00222139" w:rsidRPr="004B6668">
        <w:rPr>
          <w:rFonts w:ascii="Times New Roman" w:hAnsi="Times New Roman" w:cs="Times New Roman"/>
        </w:rPr>
        <w:t xml:space="preserve">discard </w:t>
      </w:r>
      <w:r w:rsidR="003C2023" w:rsidRPr="004B6668">
        <w:rPr>
          <w:rFonts w:ascii="Times New Roman" w:hAnsi="Times New Roman" w:cs="Times New Roman"/>
        </w:rPr>
        <w:t>data is still summarized by wave, year, and stock ID</w:t>
      </w:r>
      <w:r w:rsidRPr="004B6668">
        <w:rPr>
          <w:rFonts w:ascii="Times New Roman" w:hAnsi="Times New Roman" w:cs="Times New Roman"/>
        </w:rPr>
        <w:t xml:space="preserve"> region</w:t>
      </w:r>
      <w:r w:rsidR="003C2023" w:rsidRPr="004B6668">
        <w:rPr>
          <w:rFonts w:ascii="Times New Roman" w:hAnsi="Times New Roman" w:cs="Times New Roman"/>
        </w:rPr>
        <w:t xml:space="preserve"> but it is filtered based on</w:t>
      </w:r>
      <w:r w:rsidR="00062CD5" w:rsidRPr="004B6668">
        <w:rPr>
          <w:rFonts w:ascii="Times New Roman" w:hAnsi="Times New Roman" w:cs="Times New Roman"/>
        </w:rPr>
        <w:t xml:space="preserve"> </w:t>
      </w:r>
      <w:r w:rsidRPr="004B6668">
        <w:rPr>
          <w:rFonts w:ascii="Times New Roman" w:hAnsi="Times New Roman" w:cs="Times New Roman"/>
        </w:rPr>
        <w:t xml:space="preserve">the </w:t>
      </w:r>
      <w:r w:rsidR="003C2023" w:rsidRPr="004B6668">
        <w:rPr>
          <w:rFonts w:ascii="Times New Roman" w:hAnsi="Times New Roman" w:cs="Times New Roman"/>
        </w:rPr>
        <w:t>jurisdiction</w:t>
      </w:r>
      <w:r w:rsidR="004F4114" w:rsidRPr="004B6668">
        <w:rPr>
          <w:rFonts w:ascii="Times New Roman" w:hAnsi="Times New Roman" w:cs="Times New Roman"/>
        </w:rPr>
        <w:t xml:space="preserve"> the fishing took place in</w:t>
      </w:r>
      <w:r w:rsidR="003C2023" w:rsidRPr="004B6668">
        <w:rPr>
          <w:rFonts w:ascii="Times New Roman" w:hAnsi="Times New Roman" w:cs="Times New Roman"/>
        </w:rPr>
        <w:t xml:space="preserve"> (</w:t>
      </w:r>
      <w:r w:rsidR="00062CD5" w:rsidRPr="004B6668">
        <w:rPr>
          <w:rFonts w:ascii="Times New Roman" w:hAnsi="Times New Roman" w:cs="Times New Roman"/>
        </w:rPr>
        <w:t xml:space="preserve">state </w:t>
      </w:r>
      <w:r w:rsidR="004F4114" w:rsidRPr="004B6668">
        <w:rPr>
          <w:rFonts w:ascii="Times New Roman" w:hAnsi="Times New Roman" w:cs="Times New Roman"/>
        </w:rPr>
        <w:t xml:space="preserve">or </w:t>
      </w:r>
      <w:r w:rsidR="00062CD5" w:rsidRPr="004B6668">
        <w:rPr>
          <w:rFonts w:ascii="Times New Roman" w:hAnsi="Times New Roman" w:cs="Times New Roman"/>
        </w:rPr>
        <w:t>federal</w:t>
      </w:r>
      <w:r w:rsidRPr="004B6668">
        <w:rPr>
          <w:rFonts w:ascii="Times New Roman" w:hAnsi="Times New Roman" w:cs="Times New Roman"/>
        </w:rPr>
        <w:t xml:space="preserve"> waters</w:t>
      </w:r>
      <w:r w:rsidR="00062CD5" w:rsidRPr="004B6668">
        <w:rPr>
          <w:rFonts w:ascii="Times New Roman" w:hAnsi="Times New Roman" w:cs="Times New Roman"/>
        </w:rPr>
        <w:t>). The proportion of days open</w:t>
      </w:r>
      <w:r w:rsidRPr="004B6668">
        <w:rPr>
          <w:rFonts w:ascii="Times New Roman" w:hAnsi="Times New Roman" w:cs="Times New Roman"/>
        </w:rPr>
        <w:t xml:space="preserve"> from</w:t>
      </w:r>
      <w:r w:rsidR="00062CD5" w:rsidRPr="004B6668">
        <w:rPr>
          <w:rFonts w:ascii="Times New Roman" w:hAnsi="Times New Roman" w:cs="Times New Roman"/>
        </w:rPr>
        <w:t xml:space="preserve"> the mixed</w:t>
      </w:r>
      <w:r w:rsidRPr="004B6668">
        <w:rPr>
          <w:rFonts w:ascii="Times New Roman" w:hAnsi="Times New Roman" w:cs="Times New Roman"/>
        </w:rPr>
        <w:t xml:space="preserve"> season</w:t>
      </w:r>
      <w:r w:rsidR="00062CD5" w:rsidRPr="004B6668">
        <w:rPr>
          <w:rFonts w:ascii="Times New Roman" w:hAnsi="Times New Roman" w:cs="Times New Roman"/>
        </w:rPr>
        <w:t xml:space="preserve"> waves (fed_closed = 1) changes based on the jurisdiction</w:t>
      </w:r>
      <w:r w:rsidRPr="004B6668">
        <w:rPr>
          <w:rFonts w:ascii="Times New Roman" w:hAnsi="Times New Roman" w:cs="Times New Roman"/>
        </w:rPr>
        <w:t>. Determining open and closed season discards for those taking place in federal waters follow the season length from Table 1, determining those from state waters follow the season length of each state in Table 2</w:t>
      </w:r>
      <w:r w:rsidR="00222139" w:rsidRPr="004B6668">
        <w:rPr>
          <w:rFonts w:ascii="Times New Roman" w:hAnsi="Times New Roman" w:cs="Times New Roman"/>
        </w:rPr>
        <w:t xml:space="preserve">. </w:t>
      </w:r>
      <w:r w:rsidR="00062CD5" w:rsidRPr="004B6668">
        <w:rPr>
          <w:rFonts w:ascii="Times New Roman" w:hAnsi="Times New Roman" w:cs="Times New Roman"/>
        </w:rPr>
        <w:t xml:space="preserve">The </w:t>
      </w:r>
      <w:r w:rsidRPr="004B6668">
        <w:rPr>
          <w:rFonts w:ascii="Times New Roman" w:hAnsi="Times New Roman" w:cs="Times New Roman"/>
        </w:rPr>
        <w:t xml:space="preserve">state </w:t>
      </w:r>
      <w:r w:rsidR="00062CD5" w:rsidRPr="004B6668">
        <w:rPr>
          <w:rFonts w:ascii="Times New Roman" w:hAnsi="Times New Roman" w:cs="Times New Roman"/>
        </w:rPr>
        <w:t xml:space="preserve">adjusted </w:t>
      </w:r>
      <w:r w:rsidR="00222139" w:rsidRPr="004B6668">
        <w:rPr>
          <w:rFonts w:ascii="Times New Roman" w:hAnsi="Times New Roman" w:cs="Times New Roman"/>
        </w:rPr>
        <w:t xml:space="preserve">open wave proportions were multiplied </w:t>
      </w:r>
      <w:r w:rsidR="008509D0" w:rsidRPr="004B6668">
        <w:rPr>
          <w:rFonts w:ascii="Times New Roman" w:hAnsi="Times New Roman" w:cs="Times New Roman"/>
        </w:rPr>
        <w:t xml:space="preserve">by </w:t>
      </w:r>
      <w:r w:rsidR="00222139" w:rsidRPr="004B6668">
        <w:rPr>
          <w:rFonts w:ascii="Times New Roman" w:hAnsi="Times New Roman" w:cs="Times New Roman"/>
        </w:rPr>
        <w:t xml:space="preserve">the discard summary filtered for the state water jurisdiction. These values </w:t>
      </w:r>
      <w:r w:rsidR="000A044F" w:rsidRPr="004B6668">
        <w:rPr>
          <w:rFonts w:ascii="Times New Roman" w:hAnsi="Times New Roman" w:cs="Times New Roman"/>
        </w:rPr>
        <w:t xml:space="preserve">were </w:t>
      </w:r>
      <w:r w:rsidR="00222139" w:rsidRPr="004B6668">
        <w:rPr>
          <w:rFonts w:ascii="Times New Roman" w:hAnsi="Times New Roman" w:cs="Times New Roman"/>
        </w:rPr>
        <w:t xml:space="preserve">then summed across all waves </w:t>
      </w:r>
      <w:r w:rsidR="000A044F" w:rsidRPr="004B6668">
        <w:rPr>
          <w:rFonts w:ascii="Times New Roman" w:hAnsi="Times New Roman" w:cs="Times New Roman"/>
        </w:rPr>
        <w:t>similar to the process for discards pre-</w:t>
      </w:r>
      <w:r w:rsidR="00222139" w:rsidRPr="004B6668">
        <w:rPr>
          <w:rFonts w:ascii="Times New Roman" w:hAnsi="Times New Roman" w:cs="Times New Roman"/>
        </w:rPr>
        <w:t>2013. This was also done for the federal jurisdiction using the federal season lengths, proportion open, and discard summary</w:t>
      </w:r>
      <w:r w:rsidR="006D6CD6" w:rsidRPr="004B6668">
        <w:rPr>
          <w:rFonts w:ascii="Times New Roman" w:hAnsi="Times New Roman" w:cs="Times New Roman"/>
        </w:rPr>
        <w:t xml:space="preserve"> (see 3_FedPrivate_2016_Discard.R script in GitHub repository)</w:t>
      </w:r>
      <w:r w:rsidR="00222139" w:rsidRPr="004B6668">
        <w:rPr>
          <w:rFonts w:ascii="Times New Roman" w:hAnsi="Times New Roman" w:cs="Times New Roman"/>
        </w:rPr>
        <w:t xml:space="preserve">. </w:t>
      </w:r>
      <w:r w:rsidR="00062CD5" w:rsidRPr="004B6668">
        <w:rPr>
          <w:rFonts w:ascii="Times New Roman" w:hAnsi="Times New Roman" w:cs="Times New Roman"/>
        </w:rPr>
        <w:t xml:space="preserve">In 2017-2019 the seasons </w:t>
      </w:r>
      <w:r w:rsidR="006D6CD6" w:rsidRPr="004B6668">
        <w:rPr>
          <w:rFonts w:ascii="Times New Roman" w:hAnsi="Times New Roman" w:cs="Times New Roman"/>
        </w:rPr>
        <w:t>were</w:t>
      </w:r>
      <w:r w:rsidR="00062CD5" w:rsidRPr="004B6668">
        <w:rPr>
          <w:rFonts w:ascii="Times New Roman" w:hAnsi="Times New Roman" w:cs="Times New Roman"/>
        </w:rPr>
        <w:t xml:space="preserve"> all </w:t>
      </w:r>
      <w:r w:rsidR="00E1745F" w:rsidRPr="004B6668">
        <w:rPr>
          <w:rFonts w:ascii="Times New Roman" w:hAnsi="Times New Roman" w:cs="Times New Roman"/>
        </w:rPr>
        <w:t>managed</w:t>
      </w:r>
      <w:r w:rsidR="00062CD5" w:rsidRPr="004B6668">
        <w:rPr>
          <w:rFonts w:ascii="Times New Roman" w:hAnsi="Times New Roman" w:cs="Times New Roman"/>
        </w:rPr>
        <w:t xml:space="preserve"> by the fisheries </w:t>
      </w:r>
      <w:r w:rsidR="00E1745F" w:rsidRPr="004B6668">
        <w:rPr>
          <w:rFonts w:ascii="Times New Roman" w:hAnsi="Times New Roman" w:cs="Times New Roman"/>
        </w:rPr>
        <w:t>management</w:t>
      </w:r>
      <w:r w:rsidR="00062CD5" w:rsidRPr="004B6668">
        <w:rPr>
          <w:rFonts w:ascii="Times New Roman" w:hAnsi="Times New Roman" w:cs="Times New Roman"/>
        </w:rPr>
        <w:t xml:space="preserve"> plans (i.e., the states) so the</w:t>
      </w:r>
      <w:r w:rsidR="006D6CD6" w:rsidRPr="004B6668">
        <w:rPr>
          <w:rFonts w:ascii="Times New Roman" w:hAnsi="Times New Roman" w:cs="Times New Roman"/>
        </w:rPr>
        <w:t xml:space="preserve"> season length no matter the jurisdiction is based on Table 2 (see 4_StatePrivate_2013_2019_Discards.R).</w:t>
      </w:r>
    </w:p>
    <w:p w:rsidR="006D6CD6" w:rsidRPr="004B6668" w:rsidRDefault="006D6CD6">
      <w:pPr>
        <w:rPr>
          <w:rFonts w:ascii="Times New Roman" w:hAnsi="Times New Roman" w:cs="Times New Roman"/>
        </w:rPr>
      </w:pPr>
      <w:r w:rsidRPr="004B6668">
        <w:rPr>
          <w:rFonts w:ascii="Times New Roman" w:hAnsi="Times New Roman" w:cs="Times New Roman"/>
        </w:rPr>
        <w:t>The final number of discards in the open and closed season for the private component are the summation of the state and federal discards annually by stock ID region and season.</w:t>
      </w:r>
    </w:p>
    <w:p w:rsidR="00AB1F9D" w:rsidRPr="00916459" w:rsidRDefault="00AB1F9D" w:rsidP="00784DFF">
      <w:pPr>
        <w:pStyle w:val="Heading1"/>
        <w:rPr>
          <w:rFonts w:ascii="Times New Roman" w:hAnsi="Times New Roman" w:cs="Times New Roman"/>
        </w:rPr>
      </w:pPr>
      <w:r w:rsidRPr="00916459">
        <w:rPr>
          <w:rFonts w:ascii="Times New Roman" w:hAnsi="Times New Roman" w:cs="Times New Roman"/>
        </w:rPr>
        <w:t>Results</w:t>
      </w:r>
    </w:p>
    <w:p w:rsidR="00D23C33" w:rsidRDefault="00CA2ECB" w:rsidP="00641649">
      <w:pPr>
        <w:rPr>
          <w:rFonts w:ascii="Times New Roman" w:hAnsi="Times New Roman" w:cs="Times New Roman"/>
        </w:rPr>
      </w:pPr>
      <w:r>
        <w:rPr>
          <w:rFonts w:ascii="Times New Roman" w:hAnsi="Times New Roman" w:cs="Times New Roman"/>
        </w:rPr>
        <w:t>General recreational discards vary based o</w:t>
      </w:r>
      <w:r w:rsidR="00A262FD">
        <w:rPr>
          <w:rFonts w:ascii="Times New Roman" w:hAnsi="Times New Roman" w:cs="Times New Roman"/>
        </w:rPr>
        <w:t xml:space="preserve">n stock ID region, season, </w:t>
      </w:r>
      <w:r>
        <w:rPr>
          <w:rFonts w:ascii="Times New Roman" w:hAnsi="Times New Roman" w:cs="Times New Roman"/>
        </w:rPr>
        <w:t xml:space="preserve">and fishery </w:t>
      </w:r>
      <w:r w:rsidR="005C2DCE" w:rsidRPr="00916459">
        <w:rPr>
          <w:rFonts w:ascii="Times New Roman" w:hAnsi="Times New Roman" w:cs="Times New Roman"/>
        </w:rPr>
        <w:t>component</w:t>
      </w:r>
      <w:r w:rsidR="001034C6">
        <w:rPr>
          <w:rFonts w:ascii="Times New Roman" w:hAnsi="Times New Roman" w:cs="Times New Roman"/>
        </w:rPr>
        <w:t xml:space="preserve"> (Table 3</w:t>
      </w:r>
      <w:r w:rsidR="00D96AE5">
        <w:rPr>
          <w:rFonts w:ascii="Times New Roman" w:hAnsi="Times New Roman" w:cs="Times New Roman"/>
        </w:rPr>
        <w:t xml:space="preserve"> -6)</w:t>
      </w:r>
      <w:r w:rsidR="005C2DCE" w:rsidRPr="00916459">
        <w:rPr>
          <w:rFonts w:ascii="Times New Roman" w:hAnsi="Times New Roman" w:cs="Times New Roman"/>
        </w:rPr>
        <w:t>.</w:t>
      </w:r>
      <w:r w:rsidR="005B2109" w:rsidRPr="00916459">
        <w:rPr>
          <w:rFonts w:ascii="Times New Roman" w:hAnsi="Times New Roman" w:cs="Times New Roman"/>
        </w:rPr>
        <w:t xml:space="preserve"> The private </w:t>
      </w:r>
      <w:r w:rsidR="00FE5EE1" w:rsidRPr="00916459">
        <w:rPr>
          <w:rFonts w:ascii="Times New Roman" w:hAnsi="Times New Roman" w:cs="Times New Roman"/>
        </w:rPr>
        <w:t>component</w:t>
      </w:r>
      <w:r w:rsidR="005B2109" w:rsidRPr="00916459">
        <w:rPr>
          <w:rFonts w:ascii="Times New Roman" w:hAnsi="Times New Roman" w:cs="Times New Roman"/>
        </w:rPr>
        <w:t xml:space="preserve"> continuously has the largest number of discards </w:t>
      </w:r>
      <w:r>
        <w:rPr>
          <w:rFonts w:ascii="Times New Roman" w:hAnsi="Times New Roman" w:cs="Times New Roman"/>
        </w:rPr>
        <w:t>across seasons</w:t>
      </w:r>
      <w:r w:rsidR="001034C6">
        <w:rPr>
          <w:rFonts w:ascii="Times New Roman" w:hAnsi="Times New Roman" w:cs="Times New Roman"/>
        </w:rPr>
        <w:t>, (T</w:t>
      </w:r>
      <w:r w:rsidR="00D96AE5">
        <w:rPr>
          <w:rFonts w:ascii="Times New Roman" w:hAnsi="Times New Roman" w:cs="Times New Roman"/>
        </w:rPr>
        <w:t>able 4-6</w:t>
      </w:r>
      <w:r w:rsidR="001034C6">
        <w:rPr>
          <w:rFonts w:ascii="Times New Roman" w:hAnsi="Times New Roman" w:cs="Times New Roman"/>
        </w:rPr>
        <w:t>)</w:t>
      </w:r>
      <w:r>
        <w:rPr>
          <w:rFonts w:ascii="Times New Roman" w:hAnsi="Times New Roman" w:cs="Times New Roman"/>
        </w:rPr>
        <w:t xml:space="preserve"> with the central region having on average more discards during the closed season (</w:t>
      </w:r>
      <w:r w:rsidR="00A262FD">
        <w:rPr>
          <w:rFonts w:ascii="Times New Roman" w:hAnsi="Times New Roman" w:cs="Times New Roman"/>
        </w:rPr>
        <w:t>~</w:t>
      </w:r>
      <w:r w:rsidR="00C62671">
        <w:rPr>
          <w:rFonts w:ascii="Times New Roman" w:hAnsi="Times New Roman" w:cs="Times New Roman"/>
        </w:rPr>
        <w:t>1.5 million</w:t>
      </w:r>
      <w:r>
        <w:rPr>
          <w:rFonts w:ascii="Times New Roman" w:hAnsi="Times New Roman" w:cs="Times New Roman"/>
        </w:rPr>
        <w:t>) than the open season (</w:t>
      </w:r>
      <w:r w:rsidR="00A262FD">
        <w:rPr>
          <w:rFonts w:ascii="Times New Roman" w:hAnsi="Times New Roman" w:cs="Times New Roman"/>
        </w:rPr>
        <w:t>~</w:t>
      </w:r>
      <w:r w:rsidR="00C62671">
        <w:rPr>
          <w:rFonts w:ascii="Times New Roman" w:hAnsi="Times New Roman" w:cs="Times New Roman"/>
        </w:rPr>
        <w:t xml:space="preserve">1.2 million). </w:t>
      </w:r>
      <w:r w:rsidR="00A262FD">
        <w:rPr>
          <w:rFonts w:ascii="Times New Roman" w:hAnsi="Times New Roman" w:cs="Times New Roman"/>
        </w:rPr>
        <w:t xml:space="preserve">Having more discards in the closed season is unique to the central region private recreational component as the </w:t>
      </w:r>
      <w:r w:rsidR="00C62671">
        <w:rPr>
          <w:rFonts w:ascii="Times New Roman" w:hAnsi="Times New Roman" w:cs="Times New Roman"/>
        </w:rPr>
        <w:t>open season discards are higher than the closed season discards on average</w:t>
      </w:r>
      <w:r w:rsidR="00A262FD">
        <w:rPr>
          <w:rFonts w:ascii="Times New Roman" w:hAnsi="Times New Roman" w:cs="Times New Roman"/>
        </w:rPr>
        <w:t xml:space="preserve"> in the east and the west</w:t>
      </w:r>
      <w:r w:rsidR="00DE6E90">
        <w:rPr>
          <w:rFonts w:ascii="Times New Roman" w:hAnsi="Times New Roman" w:cs="Times New Roman"/>
        </w:rPr>
        <w:t>. In</w:t>
      </w:r>
      <w:r w:rsidR="00C62671">
        <w:rPr>
          <w:rFonts w:ascii="Times New Roman" w:hAnsi="Times New Roman" w:cs="Times New Roman"/>
        </w:rPr>
        <w:t xml:space="preserve"> the central and the western </w:t>
      </w:r>
      <w:r w:rsidR="00A262FD">
        <w:rPr>
          <w:rFonts w:ascii="Times New Roman" w:hAnsi="Times New Roman" w:cs="Times New Roman"/>
        </w:rPr>
        <w:t xml:space="preserve">region, open season discards appear to decrease starting in 2005 in the west and 2007 in the central region. The eastern region is continuously under 500 thousand discards during the open season but experiences a spike starting in 2013. </w:t>
      </w:r>
      <w:r w:rsidR="00CC146F">
        <w:rPr>
          <w:rFonts w:ascii="Times New Roman" w:hAnsi="Times New Roman" w:cs="Times New Roman"/>
        </w:rPr>
        <w:t xml:space="preserve">Closed season discards increase </w:t>
      </w:r>
      <w:r w:rsidR="00D23C33">
        <w:rPr>
          <w:rFonts w:ascii="Times New Roman" w:hAnsi="Times New Roman" w:cs="Times New Roman"/>
        </w:rPr>
        <w:t>rapidly overtime for the central region while the west and east remain</w:t>
      </w:r>
      <w:r w:rsidR="00CC146F">
        <w:rPr>
          <w:rFonts w:ascii="Times New Roman" w:hAnsi="Times New Roman" w:cs="Times New Roman"/>
        </w:rPr>
        <w:t xml:space="preserve"> relatively stabl</w:t>
      </w:r>
      <w:r w:rsidR="00D23C33">
        <w:rPr>
          <w:rFonts w:ascii="Times New Roman" w:hAnsi="Times New Roman" w:cs="Times New Roman"/>
        </w:rPr>
        <w:t>e,</w:t>
      </w:r>
      <w:r w:rsidR="00CC146F">
        <w:rPr>
          <w:rFonts w:ascii="Times New Roman" w:hAnsi="Times New Roman" w:cs="Times New Roman"/>
        </w:rPr>
        <w:t xml:space="preserve"> </w:t>
      </w:r>
      <w:r w:rsidR="00D23C33">
        <w:rPr>
          <w:rFonts w:ascii="Times New Roman" w:hAnsi="Times New Roman" w:cs="Times New Roman"/>
        </w:rPr>
        <w:t>with the east having a</w:t>
      </w:r>
      <w:r w:rsidR="00CC146F">
        <w:rPr>
          <w:rFonts w:ascii="Times New Roman" w:hAnsi="Times New Roman" w:cs="Times New Roman"/>
        </w:rPr>
        <w:t xml:space="preserve"> large spike in 2011. </w:t>
      </w:r>
      <w:r w:rsidR="00D23C33">
        <w:rPr>
          <w:rFonts w:ascii="Times New Roman" w:hAnsi="Times New Roman" w:cs="Times New Roman"/>
        </w:rPr>
        <w:t>For closed season discards in the west, it is important to note</w:t>
      </w:r>
      <w:r w:rsidR="00D23C33" w:rsidRPr="00916459">
        <w:rPr>
          <w:rFonts w:ascii="Times New Roman" w:hAnsi="Times New Roman" w:cs="Times New Roman"/>
        </w:rPr>
        <w:t xml:space="preserve"> that the T</w:t>
      </w:r>
      <w:r w:rsidR="00D23C33">
        <w:rPr>
          <w:rFonts w:ascii="Times New Roman" w:hAnsi="Times New Roman" w:cs="Times New Roman"/>
        </w:rPr>
        <w:t xml:space="preserve">exas state waters have always been </w:t>
      </w:r>
      <w:r w:rsidR="00D23C33" w:rsidRPr="00916459">
        <w:rPr>
          <w:rFonts w:ascii="Times New Roman" w:hAnsi="Times New Roman" w:cs="Times New Roman"/>
        </w:rPr>
        <w:t xml:space="preserve">open year </w:t>
      </w:r>
      <w:r w:rsidR="00D23C33">
        <w:rPr>
          <w:rFonts w:ascii="Times New Roman" w:hAnsi="Times New Roman" w:cs="Times New Roman"/>
        </w:rPr>
        <w:t xml:space="preserve">around so there </w:t>
      </w:r>
      <w:r w:rsidR="008509D0">
        <w:rPr>
          <w:rFonts w:ascii="Times New Roman" w:hAnsi="Times New Roman" w:cs="Times New Roman"/>
        </w:rPr>
        <w:t xml:space="preserve">are </w:t>
      </w:r>
      <w:r w:rsidR="00D23C33">
        <w:rPr>
          <w:rFonts w:ascii="Times New Roman" w:hAnsi="Times New Roman" w:cs="Times New Roman"/>
        </w:rPr>
        <w:t xml:space="preserve">no </w:t>
      </w:r>
      <w:r w:rsidR="00D23C33" w:rsidRPr="00916459">
        <w:rPr>
          <w:rFonts w:ascii="Times New Roman" w:hAnsi="Times New Roman" w:cs="Times New Roman"/>
        </w:rPr>
        <w:t>Texas closed season discards from state waters.</w:t>
      </w:r>
      <w:r w:rsidR="00D23C33">
        <w:rPr>
          <w:rFonts w:ascii="Times New Roman" w:hAnsi="Times New Roman" w:cs="Times New Roman"/>
        </w:rPr>
        <w:t xml:space="preserve"> </w:t>
      </w:r>
    </w:p>
    <w:p w:rsidR="00D23C33" w:rsidRDefault="00D23C33" w:rsidP="00641649">
      <w:pPr>
        <w:rPr>
          <w:rFonts w:ascii="Times New Roman" w:hAnsi="Times New Roman" w:cs="Times New Roman"/>
        </w:rPr>
      </w:pPr>
      <w:r>
        <w:rPr>
          <w:rFonts w:ascii="Times New Roman" w:hAnsi="Times New Roman" w:cs="Times New Roman"/>
        </w:rPr>
        <w:t xml:space="preserve">The </w:t>
      </w:r>
      <w:r w:rsidR="001034C6">
        <w:rPr>
          <w:rFonts w:ascii="Times New Roman" w:hAnsi="Times New Roman" w:cs="Times New Roman"/>
        </w:rPr>
        <w:t>G</w:t>
      </w:r>
      <w:r>
        <w:rPr>
          <w:rFonts w:ascii="Times New Roman" w:hAnsi="Times New Roman" w:cs="Times New Roman"/>
        </w:rPr>
        <w:t xml:space="preserve">eneral </w:t>
      </w:r>
      <w:r w:rsidR="001034C6">
        <w:rPr>
          <w:rFonts w:ascii="Times New Roman" w:hAnsi="Times New Roman" w:cs="Times New Roman"/>
        </w:rPr>
        <w:t>R</w:t>
      </w:r>
      <w:r>
        <w:rPr>
          <w:rFonts w:ascii="Times New Roman" w:hAnsi="Times New Roman" w:cs="Times New Roman"/>
        </w:rPr>
        <w:t>ecreation for-hire component contributes considerably less discards than the private component</w:t>
      </w:r>
      <w:r w:rsidR="001034C6">
        <w:rPr>
          <w:rFonts w:ascii="Times New Roman" w:hAnsi="Times New Roman" w:cs="Times New Roman"/>
        </w:rPr>
        <w:t xml:space="preserve"> (Table 3)</w:t>
      </w:r>
      <w:r>
        <w:rPr>
          <w:rFonts w:ascii="Times New Roman" w:hAnsi="Times New Roman" w:cs="Times New Roman"/>
        </w:rPr>
        <w:t>. The central r</w:t>
      </w:r>
      <w:r w:rsidR="00206F47">
        <w:rPr>
          <w:rFonts w:ascii="Times New Roman" w:hAnsi="Times New Roman" w:cs="Times New Roman"/>
        </w:rPr>
        <w:t>egion only averages 249,000</w:t>
      </w:r>
      <w:r>
        <w:rPr>
          <w:rFonts w:ascii="Times New Roman" w:hAnsi="Times New Roman" w:cs="Times New Roman"/>
        </w:rPr>
        <w:t xml:space="preserve"> fish annually in the open season compared to the 1.2 million </w:t>
      </w:r>
      <w:r w:rsidR="00206F47">
        <w:rPr>
          <w:rFonts w:ascii="Times New Roman" w:hAnsi="Times New Roman" w:cs="Times New Roman"/>
        </w:rPr>
        <w:t xml:space="preserve">fish </w:t>
      </w:r>
      <w:r>
        <w:rPr>
          <w:rFonts w:ascii="Times New Roman" w:hAnsi="Times New Roman" w:cs="Times New Roman"/>
        </w:rPr>
        <w:t>from the private component open season</w:t>
      </w:r>
      <w:r w:rsidR="00206F47">
        <w:rPr>
          <w:rFonts w:ascii="Times New Roman" w:hAnsi="Times New Roman" w:cs="Times New Roman"/>
        </w:rPr>
        <w:t xml:space="preserve">. The for-hire component central region has the highest average annual discards compared to the east and west in both open and closed season. While the central region experiences discards in the hundreds of thousands the other regions only </w:t>
      </w:r>
      <w:r w:rsidR="00206F47">
        <w:rPr>
          <w:rFonts w:ascii="Times New Roman" w:hAnsi="Times New Roman" w:cs="Times New Roman"/>
        </w:rPr>
        <w:lastRenderedPageBreak/>
        <w:t xml:space="preserve">contribute thousands of discards annually. </w:t>
      </w:r>
      <w:r w:rsidR="00DC431A">
        <w:rPr>
          <w:rFonts w:ascii="Times New Roman" w:hAnsi="Times New Roman" w:cs="Times New Roman"/>
        </w:rPr>
        <w:t>The</w:t>
      </w:r>
      <w:r w:rsidR="00206F47">
        <w:rPr>
          <w:rFonts w:ascii="Times New Roman" w:hAnsi="Times New Roman" w:cs="Times New Roman"/>
        </w:rPr>
        <w:t xml:space="preserve"> median values for annual discards by region are lower than the average indicating that there are years with relatively high discards in all regions, pulling the average up. Similar to the private component in the open season, the for-hire component experiences a decrease in discards starting in 2007 for the central and western regions, while the east remains relatively flat. The closed season discards increase rapidly for the central region, while the east and west remain relatively constant, with a spike in the east in 2017.</w:t>
      </w:r>
    </w:p>
    <w:p w:rsidR="00FE5EE1" w:rsidRPr="00916459" w:rsidRDefault="00206F47" w:rsidP="00641649">
      <w:pPr>
        <w:rPr>
          <w:rFonts w:ascii="Times New Roman" w:hAnsi="Times New Roman" w:cs="Times New Roman"/>
        </w:rPr>
      </w:pPr>
      <w:r>
        <w:rPr>
          <w:rFonts w:ascii="Times New Roman" w:hAnsi="Times New Roman" w:cs="Times New Roman"/>
        </w:rPr>
        <w:t>In general, the temporal patterns across</w:t>
      </w:r>
      <w:r w:rsidR="00A262FD">
        <w:rPr>
          <w:rFonts w:ascii="Times New Roman" w:hAnsi="Times New Roman" w:cs="Times New Roman"/>
        </w:rPr>
        <w:t xml:space="preserve"> recreational component</w:t>
      </w:r>
      <w:r>
        <w:rPr>
          <w:rFonts w:ascii="Times New Roman" w:hAnsi="Times New Roman" w:cs="Times New Roman"/>
        </w:rPr>
        <w:t>s</w:t>
      </w:r>
      <w:r w:rsidR="00A262FD">
        <w:rPr>
          <w:rFonts w:ascii="Times New Roman" w:hAnsi="Times New Roman" w:cs="Times New Roman"/>
        </w:rPr>
        <w:t xml:space="preserve"> appear to coincide with</w:t>
      </w:r>
      <w:r>
        <w:rPr>
          <w:rFonts w:ascii="Times New Roman" w:hAnsi="Times New Roman" w:cs="Times New Roman"/>
        </w:rPr>
        <w:t xml:space="preserve"> the various</w:t>
      </w:r>
      <w:r w:rsidR="00A262FD">
        <w:rPr>
          <w:rFonts w:ascii="Times New Roman" w:hAnsi="Times New Roman" w:cs="Times New Roman"/>
        </w:rPr>
        <w:t xml:space="preserve"> shifts in management</w:t>
      </w:r>
      <w:r>
        <w:rPr>
          <w:rFonts w:ascii="Times New Roman" w:hAnsi="Times New Roman" w:cs="Times New Roman"/>
        </w:rPr>
        <w:t xml:space="preserve">. The first </w:t>
      </w:r>
      <w:r w:rsidR="0077627D">
        <w:rPr>
          <w:rFonts w:ascii="Times New Roman" w:hAnsi="Times New Roman" w:cs="Times New Roman"/>
        </w:rPr>
        <w:t>major change be</w:t>
      </w:r>
      <w:r w:rsidR="00231D43">
        <w:rPr>
          <w:rFonts w:ascii="Times New Roman" w:hAnsi="Times New Roman" w:cs="Times New Roman"/>
        </w:rPr>
        <w:t>sides ini</w:t>
      </w:r>
      <w:r w:rsidR="00B724C7">
        <w:rPr>
          <w:rFonts w:ascii="Times New Roman" w:hAnsi="Times New Roman" w:cs="Times New Roman"/>
        </w:rPr>
        <w:t>tiating season closured in 1997was the</w:t>
      </w:r>
      <w:r>
        <w:rPr>
          <w:rFonts w:ascii="Times New Roman" w:hAnsi="Times New Roman" w:cs="Times New Roman"/>
        </w:rPr>
        <w:t xml:space="preserve"> red</w:t>
      </w:r>
      <w:r w:rsidR="00B724C7">
        <w:rPr>
          <w:rFonts w:ascii="Times New Roman" w:hAnsi="Times New Roman" w:cs="Times New Roman"/>
        </w:rPr>
        <w:t xml:space="preserve">uction in </w:t>
      </w:r>
      <w:r w:rsidR="00231D43">
        <w:rPr>
          <w:rFonts w:ascii="Times New Roman" w:hAnsi="Times New Roman" w:cs="Times New Roman"/>
        </w:rPr>
        <w:t>season lengths in</w:t>
      </w:r>
      <w:r w:rsidR="0077627D">
        <w:rPr>
          <w:rFonts w:ascii="Times New Roman" w:hAnsi="Times New Roman" w:cs="Times New Roman"/>
        </w:rPr>
        <w:t xml:space="preserve"> 2007-2008 (194 days to 65 days). For the private component</w:t>
      </w:r>
      <w:r w:rsidR="001034C6">
        <w:rPr>
          <w:rFonts w:ascii="Times New Roman" w:hAnsi="Times New Roman" w:cs="Times New Roman"/>
        </w:rPr>
        <w:t>,</w:t>
      </w:r>
      <w:r w:rsidR="00060A9F">
        <w:rPr>
          <w:rFonts w:ascii="Times New Roman" w:hAnsi="Times New Roman" w:cs="Times New Roman"/>
        </w:rPr>
        <w:t xml:space="preserve"> changes from</w:t>
      </w:r>
      <w:r w:rsidR="005139B4">
        <w:rPr>
          <w:rFonts w:ascii="Times New Roman" w:hAnsi="Times New Roman" w:cs="Times New Roman"/>
        </w:rPr>
        <w:t xml:space="preserve"> federal to the state level</w:t>
      </w:r>
      <w:r w:rsidR="00A262FD">
        <w:rPr>
          <w:rFonts w:ascii="Times New Roman" w:hAnsi="Times New Roman" w:cs="Times New Roman"/>
        </w:rPr>
        <w:t xml:space="preserve"> </w:t>
      </w:r>
      <w:r w:rsidR="00060A9F">
        <w:rPr>
          <w:rFonts w:ascii="Times New Roman" w:hAnsi="Times New Roman" w:cs="Times New Roman"/>
        </w:rPr>
        <w:t xml:space="preserve">management in 2013 </w:t>
      </w:r>
      <w:r w:rsidR="00A262FD">
        <w:rPr>
          <w:rFonts w:ascii="Times New Roman" w:hAnsi="Times New Roman" w:cs="Times New Roman"/>
        </w:rPr>
        <w:t>and</w:t>
      </w:r>
      <w:r w:rsidR="005139B4">
        <w:rPr>
          <w:rFonts w:ascii="Times New Roman" w:hAnsi="Times New Roman" w:cs="Times New Roman"/>
        </w:rPr>
        <w:t xml:space="preserve"> regional</w:t>
      </w:r>
      <w:r w:rsidR="00A262FD">
        <w:rPr>
          <w:rFonts w:ascii="Times New Roman" w:hAnsi="Times New Roman" w:cs="Times New Roman"/>
        </w:rPr>
        <w:t xml:space="preserve"> changes in season </w:t>
      </w:r>
      <w:r w:rsidR="00231D43">
        <w:rPr>
          <w:rFonts w:ascii="Times New Roman" w:hAnsi="Times New Roman" w:cs="Times New Roman"/>
        </w:rPr>
        <w:t>length, also appear to have an impact on spikes in discards.</w:t>
      </w:r>
      <w:r w:rsidR="00A262FD">
        <w:rPr>
          <w:rFonts w:ascii="Times New Roman" w:hAnsi="Times New Roman" w:cs="Times New Roman"/>
        </w:rPr>
        <w:t xml:space="preserve"> </w:t>
      </w:r>
    </w:p>
    <w:p w:rsidR="001E65A0" w:rsidRPr="00916459" w:rsidRDefault="00231D43" w:rsidP="004C7F21">
      <w:pPr>
        <w:rPr>
          <w:rFonts w:ascii="Times New Roman" w:hAnsi="Times New Roman" w:cs="Times New Roman"/>
        </w:rPr>
      </w:pPr>
      <w:r>
        <w:rPr>
          <w:rFonts w:ascii="Times New Roman" w:hAnsi="Times New Roman" w:cs="Times New Roman"/>
        </w:rPr>
        <w:t xml:space="preserve">It is important to note that these are estimates of discards in numbers and not actual observed discards although there has been a </w:t>
      </w:r>
      <w:r w:rsidR="00DC431A">
        <w:rPr>
          <w:rFonts w:ascii="Times New Roman" w:hAnsi="Times New Roman" w:cs="Times New Roman"/>
        </w:rPr>
        <w:t>procedural</w:t>
      </w:r>
      <w:r>
        <w:rPr>
          <w:rFonts w:ascii="Times New Roman" w:hAnsi="Times New Roman" w:cs="Times New Roman"/>
        </w:rPr>
        <w:t xml:space="preserve"> workshop to ensure the accuracy of these estimates (SEDAR-PW-07)</w:t>
      </w:r>
      <w:r w:rsidR="00DC431A">
        <w:rPr>
          <w:rFonts w:ascii="Times New Roman" w:hAnsi="Times New Roman" w:cs="Times New Roman"/>
        </w:rPr>
        <w:t>. In addition to the assumptions made to produce the discard estimates</w:t>
      </w:r>
      <w:r w:rsidR="00B724C7">
        <w:rPr>
          <w:rFonts w:ascii="Times New Roman" w:hAnsi="Times New Roman" w:cs="Times New Roman"/>
        </w:rPr>
        <w:t>,</w:t>
      </w:r>
      <w:r w:rsidR="00DC431A">
        <w:rPr>
          <w:rFonts w:ascii="Times New Roman" w:hAnsi="Times New Roman" w:cs="Times New Roman"/>
        </w:rPr>
        <w:t xml:space="preserve"> there are</w:t>
      </w:r>
      <w:r w:rsidR="004C7F21" w:rsidRPr="00916459">
        <w:rPr>
          <w:rFonts w:ascii="Times New Roman" w:hAnsi="Times New Roman" w:cs="Times New Roman"/>
        </w:rPr>
        <w:t xml:space="preserve"> assu</w:t>
      </w:r>
      <w:r w:rsidR="00DC431A">
        <w:rPr>
          <w:rFonts w:ascii="Times New Roman" w:hAnsi="Times New Roman" w:cs="Times New Roman"/>
        </w:rPr>
        <w:t xml:space="preserve">mptions that go into splitting the </w:t>
      </w:r>
      <w:r w:rsidR="004C7F21" w:rsidRPr="00916459">
        <w:rPr>
          <w:rFonts w:ascii="Times New Roman" w:hAnsi="Times New Roman" w:cs="Times New Roman"/>
        </w:rPr>
        <w:t>open and closed season discards</w:t>
      </w:r>
      <w:r w:rsidR="00DC431A">
        <w:rPr>
          <w:rFonts w:ascii="Times New Roman" w:hAnsi="Times New Roman" w:cs="Times New Roman"/>
        </w:rPr>
        <w:t xml:space="preserve"> within a wave</w:t>
      </w:r>
      <w:r w:rsidR="004C7F21" w:rsidRPr="00916459">
        <w:rPr>
          <w:rFonts w:ascii="Times New Roman" w:hAnsi="Times New Roman" w:cs="Times New Roman"/>
        </w:rPr>
        <w:t>.</w:t>
      </w:r>
      <w:r w:rsidR="00DC431A">
        <w:rPr>
          <w:rFonts w:ascii="Times New Roman" w:hAnsi="Times New Roman" w:cs="Times New Roman"/>
        </w:rPr>
        <w:t xml:space="preserve"> Fisher behavior may change within that wave if the season is closing and the quota has or has not been met, skewing open and closed season discards from that wave.</w:t>
      </w:r>
      <w:r w:rsidR="004C7F21" w:rsidRPr="00916459">
        <w:rPr>
          <w:rFonts w:ascii="Times New Roman" w:hAnsi="Times New Roman" w:cs="Times New Roman"/>
        </w:rPr>
        <w:t xml:space="preserve"> </w:t>
      </w:r>
      <w:r w:rsidR="00DC431A">
        <w:rPr>
          <w:rFonts w:ascii="Times New Roman" w:hAnsi="Times New Roman" w:cs="Times New Roman"/>
        </w:rPr>
        <w:t>Using the proportion of days, open in a given wave attempts to rectify any bias this may cause but it is also an estimate. With this in mind, t</w:t>
      </w:r>
      <w:r w:rsidR="004C7F21" w:rsidRPr="00916459">
        <w:rPr>
          <w:rFonts w:ascii="Times New Roman" w:hAnsi="Times New Roman" w:cs="Times New Roman"/>
        </w:rPr>
        <w:t xml:space="preserve">he approximation for the split of the proportion of days open for a wave is just an approximation and </w:t>
      </w:r>
      <w:r w:rsidR="00DC431A">
        <w:rPr>
          <w:rFonts w:ascii="Times New Roman" w:hAnsi="Times New Roman" w:cs="Times New Roman"/>
        </w:rPr>
        <w:t xml:space="preserve">analyses could </w:t>
      </w:r>
      <w:r w:rsidR="004C7F21" w:rsidRPr="00916459">
        <w:rPr>
          <w:rFonts w:ascii="Times New Roman" w:hAnsi="Times New Roman" w:cs="Times New Roman"/>
        </w:rPr>
        <w:t>be</w:t>
      </w:r>
      <w:r w:rsidR="00DC431A">
        <w:rPr>
          <w:rFonts w:ascii="Times New Roman" w:hAnsi="Times New Roman" w:cs="Times New Roman"/>
        </w:rPr>
        <w:t xml:space="preserve">nefit from more </w:t>
      </w:r>
      <w:r w:rsidR="004C7F21" w:rsidRPr="00916459">
        <w:rPr>
          <w:rFonts w:ascii="Times New Roman" w:hAnsi="Times New Roman" w:cs="Times New Roman"/>
        </w:rPr>
        <w:t>temporal</w:t>
      </w:r>
      <w:r w:rsidR="00DC431A">
        <w:rPr>
          <w:rFonts w:ascii="Times New Roman" w:hAnsi="Times New Roman" w:cs="Times New Roman"/>
        </w:rPr>
        <w:t>ly</w:t>
      </w:r>
      <w:r w:rsidR="004C7F21" w:rsidRPr="00916459">
        <w:rPr>
          <w:rFonts w:ascii="Times New Roman" w:hAnsi="Times New Roman" w:cs="Times New Roman"/>
        </w:rPr>
        <w:t xml:space="preserve"> </w:t>
      </w:r>
      <w:r w:rsidR="00DC431A">
        <w:rPr>
          <w:rFonts w:ascii="Times New Roman" w:hAnsi="Times New Roman" w:cs="Times New Roman"/>
        </w:rPr>
        <w:t xml:space="preserve">refined </w:t>
      </w:r>
      <w:r w:rsidR="004B6668">
        <w:rPr>
          <w:rFonts w:ascii="Times New Roman" w:hAnsi="Times New Roman" w:cs="Times New Roman"/>
        </w:rPr>
        <w:t>G</w:t>
      </w:r>
      <w:r w:rsidR="00DC431A">
        <w:rPr>
          <w:rFonts w:ascii="Times New Roman" w:hAnsi="Times New Roman" w:cs="Times New Roman"/>
        </w:rPr>
        <w:t xml:space="preserve">eneral </w:t>
      </w:r>
      <w:r w:rsidR="004B6668">
        <w:rPr>
          <w:rFonts w:ascii="Times New Roman" w:hAnsi="Times New Roman" w:cs="Times New Roman"/>
        </w:rPr>
        <w:t>R</w:t>
      </w:r>
      <w:r w:rsidR="00DC431A">
        <w:rPr>
          <w:rFonts w:ascii="Times New Roman" w:hAnsi="Times New Roman" w:cs="Times New Roman"/>
        </w:rPr>
        <w:t>ecreational data.</w:t>
      </w:r>
    </w:p>
    <w:p w:rsidR="000A47D7" w:rsidRDefault="004C7F21" w:rsidP="007F7B97">
      <w:pPr>
        <w:rPr>
          <w:rFonts w:ascii="Times New Roman" w:hAnsi="Times New Roman" w:cs="Times New Roman"/>
          <w:sz w:val="24"/>
          <w:szCs w:val="24"/>
        </w:rPr>
      </w:pPr>
      <w:r>
        <w:rPr>
          <w:rFonts w:ascii="Times New Roman" w:hAnsi="Times New Roman" w:cs="Times New Roman"/>
          <w:sz w:val="24"/>
          <w:szCs w:val="24"/>
        </w:rPr>
        <w:br w:type="page"/>
      </w:r>
    </w:p>
    <w:p w:rsidR="000A47D7" w:rsidRPr="00035C09" w:rsidRDefault="000A47D7" w:rsidP="00784DFF">
      <w:pPr>
        <w:pStyle w:val="Heading1"/>
        <w:rPr>
          <w:rFonts w:ascii="Times New Roman" w:hAnsi="Times New Roman" w:cs="Times New Roman"/>
        </w:rPr>
      </w:pPr>
      <w:r w:rsidRPr="00035C09">
        <w:rPr>
          <w:rFonts w:ascii="Times New Roman" w:hAnsi="Times New Roman" w:cs="Times New Roman"/>
        </w:rPr>
        <w:lastRenderedPageBreak/>
        <w:t>Refer</w:t>
      </w:r>
      <w:r w:rsidR="00784DFF" w:rsidRPr="00035C09">
        <w:rPr>
          <w:rFonts w:ascii="Times New Roman" w:hAnsi="Times New Roman" w:cs="Times New Roman"/>
        </w:rPr>
        <w:t>ences</w:t>
      </w:r>
    </w:p>
    <w:p w:rsidR="00D858AC" w:rsidRPr="00DC431A" w:rsidRDefault="00D858AC" w:rsidP="00916459">
      <w:pPr>
        <w:pStyle w:val="NoSpacing"/>
        <w:rPr>
          <w:rFonts w:ascii="Times New Roman" w:hAnsi="Times New Roman" w:cs="Times New Roman"/>
        </w:rPr>
      </w:pPr>
    </w:p>
    <w:p w:rsidR="00DF10F7" w:rsidRPr="005F200F" w:rsidRDefault="00DF10F7" w:rsidP="00ED4870">
      <w:pPr>
        <w:spacing w:line="240" w:lineRule="auto"/>
        <w:rPr>
          <w:rFonts w:ascii="Times New Roman" w:hAnsi="Times New Roman" w:cs="Times New Roman"/>
        </w:rPr>
      </w:pPr>
      <w:r w:rsidRPr="005F200F">
        <w:rPr>
          <w:rFonts w:ascii="Times New Roman" w:hAnsi="Times New Roman" w:cs="Times New Roman"/>
        </w:rPr>
        <w:t>Denson, L.S. (2022) OpenClosedRecDiscards [Source Code]. https://github.com/latreesedenson-NOAA/OpenClosedRecDiscards</w:t>
      </w:r>
    </w:p>
    <w:p w:rsidR="00035C09" w:rsidRPr="00ED4870" w:rsidRDefault="00035C09">
      <w:pPr>
        <w:pStyle w:val="NoSpacing"/>
        <w:rPr>
          <w:rFonts w:ascii="Times New Roman" w:hAnsi="Times New Roman" w:cs="Times New Roman"/>
        </w:rPr>
      </w:pPr>
      <w:r w:rsidRPr="00ED4870">
        <w:rPr>
          <w:rFonts w:ascii="Times New Roman" w:hAnsi="Times New Roman" w:cs="Times New Roman"/>
        </w:rPr>
        <w:t>LADWF. 2022. LA Creel/MRIP Red Snapper Private Mode Landings and Discards Calibration Procedure. SEDAR74-DW-4. SEDAR, North Charleston, SC. 38 pp.</w:t>
      </w:r>
    </w:p>
    <w:p w:rsidR="005F200F" w:rsidRPr="00ED4870" w:rsidRDefault="005F200F">
      <w:pPr>
        <w:pStyle w:val="NoSpacing"/>
        <w:rPr>
          <w:rFonts w:ascii="Times New Roman" w:hAnsi="Times New Roman" w:cs="Times New Roman"/>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2014. Final Amendment 40 to the reef fish fishery management plan for the reef fish resources of the Gulf of Mexico – recreational red snapper sector separation. Gulf of Mexico Fishery Management Council, Tampa, Florida. 304 pp.</w:t>
      </w:r>
    </w:p>
    <w:p w:rsidR="005F200F" w:rsidRPr="00ED4870" w:rsidRDefault="004D77AA">
      <w:pPr>
        <w:pStyle w:val="NoSpacing"/>
        <w:rPr>
          <w:rFonts w:ascii="Times New Roman" w:hAnsi="Times New Roman" w:cs="Times New Roman"/>
        </w:rPr>
      </w:pPr>
      <w:hyperlink r:id="rId10" w:history="1">
        <w:r w:rsidR="005F200F" w:rsidRPr="00ED4870">
          <w:rPr>
            <w:rStyle w:val="Hyperlink"/>
            <w:rFonts w:ascii="Times New Roman" w:hAnsi="Times New Roman" w:cs="Times New Roman"/>
          </w:rPr>
          <w:t>http://www.gulfcouncil.org/docs/amendments/RF%2040%20-%20Final%2012-17-2014.pdf</w:t>
        </w:r>
      </w:hyperlink>
    </w:p>
    <w:p w:rsidR="005F200F" w:rsidRPr="00ED4870" w:rsidRDefault="005F200F">
      <w:pPr>
        <w:pStyle w:val="NoSpacing"/>
        <w:rPr>
          <w:rFonts w:ascii="Times New Roman" w:hAnsi="Times New Roman" w:cs="Times New Roman"/>
        </w:rPr>
      </w:pPr>
    </w:p>
    <w:p w:rsidR="005F200F" w:rsidRPr="00ED4870" w:rsidRDefault="005F200F">
      <w:pPr>
        <w:pStyle w:val="NormalWeb"/>
        <w:spacing w:before="0" w:beforeAutospacing="0" w:after="0" w:afterAutospacing="0"/>
        <w:rPr>
          <w:sz w:val="22"/>
          <w:szCs w:val="22"/>
        </w:rPr>
      </w:pPr>
      <w:r w:rsidRPr="00ED4870">
        <w:rPr>
          <w:color w:val="000000"/>
          <w:sz w:val="22"/>
          <w:szCs w:val="22"/>
        </w:rPr>
        <w:t xml:space="preserve">GMFMC. 2019a. Final amendment 50A to the fishery management plan for the reef fish resources of the Gulf of Mexico: state management program for recreational red snapper. Gulf of Mexico Fishery Management Council, Tampa, Florida. 278 pp. </w:t>
      </w:r>
      <w:hyperlink r:id="rId11" w:history="1">
        <w:r w:rsidRPr="00ED4870">
          <w:rPr>
            <w:rStyle w:val="Hyperlink"/>
            <w:sz w:val="22"/>
            <w:szCs w:val="22"/>
          </w:rPr>
          <w:t>http://gulfcouncil.org/wp-content/uploads/State-Management-Program-for-Red-Snapper-Final-5-23-2019.pdf</w:t>
        </w:r>
      </w:hyperlink>
      <w:r w:rsidRPr="00ED4870">
        <w:rPr>
          <w:color w:val="000000"/>
          <w:sz w:val="22"/>
          <w:szCs w:val="22"/>
        </w:rPr>
        <w:t> </w:t>
      </w:r>
    </w:p>
    <w:p w:rsidR="005F200F" w:rsidRPr="00ED4870" w:rsidRDefault="005F200F" w:rsidP="00ED4870">
      <w:pPr>
        <w:spacing w:line="240" w:lineRule="auto"/>
        <w:rPr>
          <w:rFonts w:ascii="Times New Roman" w:hAnsi="Times New Roman" w:cs="Times New Roman"/>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2019b. Louisiana management for recreational red snapper. Final amendment 50B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Gulf of Mexico Fishery Management Council, Tampa, Florida. 75 pp.</w:t>
      </w:r>
    </w:p>
    <w:p w:rsidR="005F200F" w:rsidRPr="00ED4870" w:rsidRDefault="004D77AA">
      <w:pPr>
        <w:pStyle w:val="NormalWeb"/>
        <w:spacing w:before="0" w:beforeAutospacing="0" w:after="0" w:afterAutospacing="0"/>
        <w:rPr>
          <w:sz w:val="22"/>
          <w:szCs w:val="22"/>
        </w:rPr>
      </w:pPr>
      <w:hyperlink r:id="rId12" w:history="1">
        <w:r w:rsidR="005F200F" w:rsidRPr="00ED4870">
          <w:rPr>
            <w:rStyle w:val="Hyperlink"/>
            <w:sz w:val="22"/>
            <w:szCs w:val="22"/>
          </w:rPr>
          <w:t>https://gulfcouncil.org/wp-content/uploads/Louisiana-State-Management-5-23-2019_FINAL.pdf</w:t>
        </w:r>
      </w:hyperlink>
    </w:p>
    <w:p w:rsidR="005F200F" w:rsidRDefault="005F200F">
      <w:pPr>
        <w:pStyle w:val="NormalWeb"/>
        <w:spacing w:before="0" w:beforeAutospacing="0" w:after="0" w:afterAutospacing="0"/>
        <w:rPr>
          <w:color w:val="000000"/>
          <w:sz w:val="22"/>
          <w:szCs w:val="22"/>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2019c. Mississippi management for recreational red snapper. Final amendment 50C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Gulf of Mexico Fishery Management Council, Tampa, Florida. 75 pp.</w:t>
      </w:r>
    </w:p>
    <w:p w:rsidR="005F200F" w:rsidRPr="00ED4870" w:rsidRDefault="004D77AA">
      <w:pPr>
        <w:pStyle w:val="NormalWeb"/>
        <w:spacing w:before="0" w:beforeAutospacing="0" w:after="0" w:afterAutospacing="0"/>
        <w:rPr>
          <w:sz w:val="22"/>
          <w:szCs w:val="22"/>
        </w:rPr>
      </w:pPr>
      <w:hyperlink r:id="rId13" w:history="1">
        <w:r w:rsidR="005F200F" w:rsidRPr="00ED4870">
          <w:rPr>
            <w:rStyle w:val="Hyperlink"/>
            <w:sz w:val="22"/>
            <w:szCs w:val="22"/>
          </w:rPr>
          <w:t>https://gulfcouncil.org/wp-content/uploads/Mississippi-State-Management-5-23-2019_FINAL.pdf</w:t>
        </w:r>
      </w:hyperlink>
    </w:p>
    <w:p w:rsidR="005F200F" w:rsidRDefault="005F200F">
      <w:pPr>
        <w:pStyle w:val="NormalWeb"/>
        <w:spacing w:before="0" w:beforeAutospacing="0" w:after="0" w:afterAutospacing="0"/>
        <w:rPr>
          <w:color w:val="000000"/>
          <w:sz w:val="22"/>
          <w:szCs w:val="22"/>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2019d. Alabama management for recreational red snapper. Final amendment 50D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Gulf of Mexico Fishery Management Council, Tampa, Florida. 75 pp.</w:t>
      </w:r>
    </w:p>
    <w:p w:rsidR="005F200F" w:rsidRPr="00ED4870" w:rsidRDefault="004D77AA">
      <w:pPr>
        <w:pStyle w:val="NormalWeb"/>
        <w:spacing w:before="0" w:beforeAutospacing="0" w:after="0" w:afterAutospacing="0"/>
        <w:rPr>
          <w:sz w:val="22"/>
          <w:szCs w:val="22"/>
        </w:rPr>
      </w:pPr>
      <w:hyperlink r:id="rId14" w:history="1">
        <w:r w:rsidR="005F200F" w:rsidRPr="00ED4870">
          <w:rPr>
            <w:rStyle w:val="Hyperlink"/>
            <w:sz w:val="22"/>
            <w:szCs w:val="22"/>
          </w:rPr>
          <w:t>https://gulfcouncil.org/wp-content/uploads/Alabama-State-Management-5-23-2019_FINAL.pdf</w:t>
        </w:r>
      </w:hyperlink>
    </w:p>
    <w:p w:rsidR="005F200F" w:rsidRDefault="005F200F">
      <w:pPr>
        <w:pStyle w:val="NormalWeb"/>
        <w:spacing w:before="0" w:beforeAutospacing="0" w:after="0" w:afterAutospacing="0"/>
        <w:rPr>
          <w:color w:val="000000"/>
          <w:sz w:val="22"/>
          <w:szCs w:val="22"/>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2019e. Florida management for recreational red snapper. Final amendment 50E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Gulf of Mexico Fishery Management Council, Tampa, Florida. 75 pp.</w:t>
      </w:r>
    </w:p>
    <w:p w:rsidR="005F200F" w:rsidRPr="00ED4870" w:rsidRDefault="004D77AA">
      <w:pPr>
        <w:pStyle w:val="NormalWeb"/>
        <w:spacing w:before="0" w:beforeAutospacing="0" w:after="0" w:afterAutospacing="0"/>
        <w:rPr>
          <w:sz w:val="22"/>
          <w:szCs w:val="22"/>
        </w:rPr>
      </w:pPr>
      <w:hyperlink r:id="rId15" w:history="1">
        <w:r w:rsidR="005F200F" w:rsidRPr="00ED4870">
          <w:rPr>
            <w:rStyle w:val="Hyperlink"/>
            <w:sz w:val="22"/>
            <w:szCs w:val="22"/>
          </w:rPr>
          <w:t>https://gulfcouncil.org/wp-content/uploads/Florida-State-Management-5-23-2019_FINAL.pdf</w:t>
        </w:r>
      </w:hyperlink>
    </w:p>
    <w:p w:rsidR="005F200F" w:rsidRDefault="005F200F">
      <w:pPr>
        <w:pStyle w:val="NormalWeb"/>
        <w:spacing w:before="0" w:beforeAutospacing="0" w:after="0" w:afterAutospacing="0"/>
        <w:rPr>
          <w:color w:val="000000"/>
          <w:sz w:val="22"/>
          <w:szCs w:val="22"/>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2019f. Texas management for recreational red snapper. Final amendment 50F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Gulf of Mexico Fishery Management Council, Tampa, Florida. 74 pp.</w:t>
      </w:r>
    </w:p>
    <w:p w:rsidR="005F200F" w:rsidRPr="00ED4870" w:rsidRDefault="004D77AA">
      <w:pPr>
        <w:pStyle w:val="NormalWeb"/>
        <w:spacing w:before="0" w:beforeAutospacing="0" w:after="0" w:afterAutospacing="0"/>
        <w:rPr>
          <w:sz w:val="22"/>
          <w:szCs w:val="22"/>
        </w:rPr>
      </w:pPr>
      <w:hyperlink r:id="rId16" w:history="1">
        <w:r w:rsidR="005F200F" w:rsidRPr="00ED4870">
          <w:rPr>
            <w:rStyle w:val="Hyperlink"/>
            <w:sz w:val="22"/>
            <w:szCs w:val="22"/>
          </w:rPr>
          <w:t>https://gulfcouncil.org/wp-content/uploads/Texas-State-Management-5-23-2019_FINAL.pdf</w:t>
        </w:r>
      </w:hyperlink>
    </w:p>
    <w:p w:rsidR="005F200F" w:rsidRPr="00ED4870" w:rsidRDefault="005F200F">
      <w:pPr>
        <w:pStyle w:val="NoSpacing"/>
        <w:rPr>
          <w:rFonts w:ascii="Times New Roman" w:hAnsi="Times New Roman" w:cs="Times New Roman"/>
        </w:rPr>
      </w:pPr>
    </w:p>
    <w:p w:rsidR="00035C09" w:rsidRPr="00ED4870" w:rsidRDefault="00035C09">
      <w:pPr>
        <w:pStyle w:val="NoSpacing"/>
        <w:rPr>
          <w:rFonts w:ascii="Times New Roman" w:hAnsi="Times New Roman" w:cs="Times New Roman"/>
        </w:rPr>
      </w:pPr>
    </w:p>
    <w:p w:rsidR="00444662" w:rsidRPr="005F200F" w:rsidRDefault="007963A5">
      <w:pPr>
        <w:pStyle w:val="NoSpacing"/>
        <w:rPr>
          <w:rFonts w:ascii="Times New Roman" w:hAnsi="Times New Roman" w:cs="Times New Roman"/>
        </w:rPr>
      </w:pPr>
      <w:r w:rsidRPr="005F200F">
        <w:rPr>
          <w:rFonts w:ascii="Times New Roman" w:hAnsi="Times New Roman" w:cs="Times New Roman"/>
        </w:rPr>
        <w:lastRenderedPageBreak/>
        <w:t>Matter, Vivian M. and Matthew A. Nuttall. 2020. Marine Recreational Information Program Metadata for the Atlantic, Gulf of Mexico, and Caribbean regions. SEDAR68-DW-13. SEDAR, North Charleston, SC. 16 pp.</w:t>
      </w:r>
    </w:p>
    <w:p w:rsidR="00035C09" w:rsidRPr="005F200F" w:rsidRDefault="00035C09">
      <w:pPr>
        <w:pStyle w:val="NoSpacing"/>
        <w:rPr>
          <w:rFonts w:ascii="Times New Roman" w:hAnsi="Times New Roman" w:cs="Times New Roman"/>
        </w:rPr>
      </w:pPr>
    </w:p>
    <w:p w:rsidR="00444662" w:rsidRPr="005F200F" w:rsidRDefault="00035C09">
      <w:pPr>
        <w:pStyle w:val="NoSpacing"/>
        <w:rPr>
          <w:rFonts w:ascii="Times New Roman" w:hAnsi="Times New Roman" w:cs="Times New Roman"/>
        </w:rPr>
      </w:pPr>
      <w:r w:rsidRPr="005F200F">
        <w:rPr>
          <w:rFonts w:ascii="Times New Roman" w:hAnsi="Times New Roman" w:cs="Times New Roman"/>
        </w:rPr>
        <w:t>Nuttall, Matthew A. and Vivian M. Matter. 2020. Texas Parks and Wildlife Department’s Marine Sport-Harvest Monitoring Program Metadata. SEDAR70-WP-03. SEDAR, North Charleston, SC. 25 pp.</w:t>
      </w:r>
    </w:p>
    <w:p w:rsidR="00035C09" w:rsidRPr="005F200F" w:rsidRDefault="00035C09">
      <w:pPr>
        <w:pStyle w:val="NoSpacing"/>
        <w:rPr>
          <w:rFonts w:ascii="Times New Roman" w:hAnsi="Times New Roman" w:cs="Times New Roman"/>
        </w:rPr>
      </w:pPr>
    </w:p>
    <w:p w:rsidR="00035C09" w:rsidRPr="005F200F" w:rsidRDefault="00035C09">
      <w:pPr>
        <w:pStyle w:val="NoSpacing"/>
        <w:rPr>
          <w:rFonts w:ascii="Times New Roman" w:hAnsi="Times New Roman" w:cs="Times New Roman"/>
        </w:rPr>
      </w:pPr>
      <w:r w:rsidRPr="005F200F">
        <w:rPr>
          <w:rFonts w:ascii="Times New Roman" w:hAnsi="Times New Roman" w:cs="Times New Roman"/>
        </w:rPr>
        <w:t>Nuttall, Matthew A. 2022. General Recreational Survey Data for Red Snapper in the Gulf of Mexico. SEDAR74-DW-01. SEDAR, North Charleston, SC. 45 pp.</w:t>
      </w:r>
    </w:p>
    <w:p w:rsidR="00035C09" w:rsidRPr="005F200F" w:rsidRDefault="00035C09">
      <w:pPr>
        <w:pStyle w:val="NoSpacing"/>
        <w:rPr>
          <w:rFonts w:ascii="Times New Roman" w:hAnsi="Times New Roman" w:cs="Times New Roman"/>
        </w:rPr>
      </w:pPr>
    </w:p>
    <w:p w:rsidR="00DF10F7" w:rsidRPr="005F200F" w:rsidRDefault="00035C09">
      <w:pPr>
        <w:pStyle w:val="NoSpacing"/>
        <w:rPr>
          <w:rFonts w:ascii="Times New Roman" w:hAnsi="Times New Roman" w:cs="Times New Roman"/>
        </w:rPr>
      </w:pPr>
      <w:r w:rsidRPr="005F200F">
        <w:rPr>
          <w:rFonts w:ascii="Times New Roman" w:hAnsi="Times New Roman" w:cs="Times New Roman"/>
        </w:rPr>
        <w:t xml:space="preserve">SEDAR. 2015. SEDAR-PW-07. SEDAR Procedural Workshop 7: Data Best Practices. SEDAR, North Charleston, SC. 151 pp. </w:t>
      </w:r>
    </w:p>
    <w:p w:rsidR="00DF10F7" w:rsidRPr="005F200F" w:rsidRDefault="00DF10F7" w:rsidP="00DF10F7">
      <w:pPr>
        <w:pStyle w:val="NoSpacing"/>
        <w:rPr>
          <w:rFonts w:ascii="Times New Roman" w:hAnsi="Times New Roman" w:cs="Times New Roman"/>
        </w:rPr>
      </w:pPr>
    </w:p>
    <w:p w:rsidR="0048194B" w:rsidRDefault="0048194B">
      <w:pPr>
        <w:rPr>
          <w:rFonts w:asciiTheme="majorHAnsi" w:eastAsiaTheme="majorEastAsia" w:hAnsiTheme="majorHAnsi" w:cstheme="majorBidi"/>
          <w:color w:val="2E74B5" w:themeColor="accent1" w:themeShade="BF"/>
          <w:sz w:val="32"/>
          <w:szCs w:val="32"/>
        </w:rPr>
      </w:pPr>
      <w:r>
        <w:br w:type="page"/>
      </w:r>
    </w:p>
    <w:p w:rsidR="007B195A" w:rsidRPr="00E06632" w:rsidRDefault="00D858AC" w:rsidP="00D858AC">
      <w:pPr>
        <w:pStyle w:val="Heading1"/>
        <w:rPr>
          <w:rFonts w:ascii="Times New Roman" w:hAnsi="Times New Roman" w:cs="Times New Roman"/>
        </w:rPr>
      </w:pPr>
      <w:r w:rsidRPr="00E06632">
        <w:rPr>
          <w:rFonts w:ascii="Times New Roman" w:hAnsi="Times New Roman" w:cs="Times New Roman"/>
        </w:rPr>
        <w:lastRenderedPageBreak/>
        <w:t>Tables</w:t>
      </w:r>
    </w:p>
    <w:p w:rsidR="0048194B" w:rsidRPr="0048194B" w:rsidRDefault="0048194B" w:rsidP="0048194B">
      <w:pPr>
        <w:spacing w:after="0" w:line="240" w:lineRule="auto"/>
        <w:rPr>
          <w:rFonts w:ascii="Calibri" w:eastAsia="Times New Roman" w:hAnsi="Calibri" w:cs="Calibri"/>
          <w:sz w:val="24"/>
          <w:szCs w:val="24"/>
        </w:rPr>
      </w:pPr>
      <w:r w:rsidRPr="008D48AB">
        <w:rPr>
          <w:rFonts w:ascii="Calibri" w:eastAsia="Times New Roman" w:hAnsi="Calibri" w:cs="Calibri"/>
          <w:b/>
          <w:sz w:val="24"/>
          <w:szCs w:val="24"/>
        </w:rPr>
        <w:t>Table 1.</w:t>
      </w:r>
      <w:r w:rsidRPr="008D48AB">
        <w:rPr>
          <w:rFonts w:ascii="Calibri" w:eastAsia="Times New Roman" w:hAnsi="Calibri" w:cs="Calibri"/>
          <w:sz w:val="24"/>
          <w:szCs w:val="24"/>
        </w:rPr>
        <w:t xml:space="preserve"> Recreational season lengths with season open and close dates from the NOAA Southeast Regional Office for both modes (Private and For-hire). In 201</w:t>
      </w:r>
      <w:r w:rsidR="005F200F">
        <w:rPr>
          <w:rFonts w:ascii="Calibri" w:eastAsia="Times New Roman" w:hAnsi="Calibri" w:cs="Calibri"/>
          <w:sz w:val="24"/>
          <w:szCs w:val="24"/>
        </w:rPr>
        <w:t>8</w:t>
      </w:r>
      <w:r w:rsidRPr="008D48AB">
        <w:rPr>
          <w:rFonts w:ascii="Calibri" w:eastAsia="Times New Roman" w:hAnsi="Calibri" w:cs="Calibri"/>
          <w:sz w:val="24"/>
          <w:szCs w:val="24"/>
        </w:rPr>
        <w:t>, the Private mode managed structure changes based on the Exempted Fishing Permits (EFP) and in 2020,</w:t>
      </w:r>
      <w:r>
        <w:rPr>
          <w:rFonts w:ascii="Calibri" w:eastAsia="Times New Roman" w:hAnsi="Calibri" w:cs="Calibri"/>
          <w:sz w:val="24"/>
          <w:szCs w:val="24"/>
        </w:rPr>
        <w:t xml:space="preserve"> the quotas were amended by Reef F</w:t>
      </w:r>
      <w:r w:rsidR="00DF10F7">
        <w:rPr>
          <w:rFonts w:ascii="Calibri" w:eastAsia="Times New Roman" w:hAnsi="Calibri" w:cs="Calibri"/>
          <w:sz w:val="24"/>
          <w:szCs w:val="24"/>
        </w:rPr>
        <w:t>ish A</w:t>
      </w:r>
      <w:r w:rsidRPr="008D48AB">
        <w:rPr>
          <w:rFonts w:ascii="Calibri" w:eastAsia="Times New Roman" w:hAnsi="Calibri" w:cs="Calibri"/>
          <w:sz w:val="24"/>
          <w:szCs w:val="24"/>
        </w:rPr>
        <w:t>mendment 50</w:t>
      </w:r>
      <w:r>
        <w:rPr>
          <w:rFonts w:ascii="Calibri" w:eastAsia="Times New Roman" w:hAnsi="Calibri" w:cs="Calibri"/>
          <w:sz w:val="24"/>
          <w:szCs w:val="24"/>
        </w:rPr>
        <w:t xml:space="preserve"> </w:t>
      </w:r>
      <w:r w:rsidRPr="008D48AB">
        <w:rPr>
          <w:rFonts w:ascii="Calibri" w:eastAsia="Times New Roman" w:hAnsi="Calibri" w:cs="Calibri"/>
          <w:sz w:val="24"/>
          <w:szCs w:val="24"/>
        </w:rPr>
        <w:t>changing the season lengths.</w:t>
      </w:r>
    </w:p>
    <w:p w:rsidR="008D48AB" w:rsidRDefault="008D48AB" w:rsidP="008D48AB"/>
    <w:tbl>
      <w:tblPr>
        <w:tblW w:w="6930" w:type="dxa"/>
        <w:jc w:val="center"/>
        <w:tblLook w:val="04A0" w:firstRow="1" w:lastRow="0" w:firstColumn="1" w:lastColumn="0" w:noHBand="0" w:noVBand="1"/>
      </w:tblPr>
      <w:tblGrid>
        <w:gridCol w:w="1350"/>
        <w:gridCol w:w="1260"/>
        <w:gridCol w:w="1170"/>
        <w:gridCol w:w="1350"/>
        <w:gridCol w:w="1800"/>
      </w:tblGrid>
      <w:tr w:rsidR="0048194B" w:rsidRPr="008D48AB" w:rsidTr="0048194B">
        <w:trPr>
          <w:trHeight w:val="630"/>
          <w:jc w:val="center"/>
        </w:trPr>
        <w:tc>
          <w:tcPr>
            <w:tcW w:w="1350" w:type="dxa"/>
            <w:tcBorders>
              <w:top w:val="single" w:sz="4" w:space="0" w:color="auto"/>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1260" w:type="dxa"/>
            <w:tcBorders>
              <w:top w:val="single" w:sz="4" w:space="0" w:color="auto"/>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b/>
                <w:bCs/>
                <w:sz w:val="24"/>
                <w:szCs w:val="24"/>
              </w:rPr>
            </w:pPr>
            <w:r w:rsidRPr="008D48AB">
              <w:rPr>
                <w:rFonts w:ascii="Calibri" w:eastAsia="Times New Roman" w:hAnsi="Calibri" w:cs="Calibri"/>
                <w:b/>
                <w:bCs/>
                <w:sz w:val="24"/>
                <w:szCs w:val="24"/>
              </w:rPr>
              <w:t>Mode</w:t>
            </w:r>
          </w:p>
        </w:tc>
        <w:tc>
          <w:tcPr>
            <w:tcW w:w="1170" w:type="dxa"/>
            <w:tcBorders>
              <w:top w:val="single" w:sz="4" w:space="0" w:color="auto"/>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 Days</w:t>
            </w:r>
          </w:p>
        </w:tc>
        <w:tc>
          <w:tcPr>
            <w:tcW w:w="1350" w:type="dxa"/>
            <w:tcBorders>
              <w:top w:val="single" w:sz="4" w:space="0" w:color="auto"/>
              <w:left w:val="nil"/>
              <w:bottom w:val="single" w:sz="8" w:space="0" w:color="auto"/>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 date</w:t>
            </w:r>
          </w:p>
        </w:tc>
        <w:tc>
          <w:tcPr>
            <w:tcW w:w="1800" w:type="dxa"/>
            <w:tcBorders>
              <w:top w:val="single" w:sz="4" w:space="0" w:color="auto"/>
              <w:left w:val="nil"/>
              <w:bottom w:val="single" w:sz="8" w:space="0" w:color="auto"/>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 date</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Pre-1990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1-Jan</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31-Dec</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1991</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1992</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1993</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1994</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1995</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1996</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1997</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330</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27-Nov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1998</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272</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30-Sep</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1999</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240</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29-Aug</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194</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21-Apr</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2001</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2002</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2003</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2004</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2005</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2006</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2007</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2008</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65</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5-Aug</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2009</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75</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15-Aug</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53</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24-Jul</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2011</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48</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19-Jul</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2012</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46</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17-Jul</w:t>
            </w:r>
          </w:p>
        </w:tc>
      </w:tr>
      <w:tr w:rsidR="008D48AB" w:rsidRPr="008D48AB" w:rsidTr="0048194B">
        <w:trPr>
          <w:trHeight w:val="62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2013</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42</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 1-Oct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29-June; 15-Oct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2014</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9</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9-Jun</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2015</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10</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11-Jun</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44</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15-Jul</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2016</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11</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12-Jun</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46</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17-Jul</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2017</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3</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3-Jun</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49</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19-Jul</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lastRenderedPageBreak/>
              <w:t>2018</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c>
          <w:tcPr>
            <w:tcW w:w="180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51</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22-Jul</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2019</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c>
          <w:tcPr>
            <w:tcW w:w="180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48</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19-Jul</w:t>
            </w:r>
          </w:p>
        </w:tc>
      </w:tr>
      <w:tr w:rsidR="008D48AB" w:rsidRPr="008D48AB" w:rsidTr="0048194B">
        <w:trPr>
          <w:trHeight w:val="310"/>
          <w:jc w:val="center"/>
        </w:trPr>
        <w:tc>
          <w:tcPr>
            <w:tcW w:w="1350" w:type="dxa"/>
            <w:vMerge w:val="restart"/>
            <w:tcBorders>
              <w:top w:val="nil"/>
              <w:left w:val="nil"/>
              <w:bottom w:val="single" w:sz="8" w:space="0" w:color="000000"/>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2020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RF50</w:t>
            </w:r>
          </w:p>
        </w:tc>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RF50</w:t>
            </w:r>
          </w:p>
        </w:tc>
        <w:tc>
          <w:tcPr>
            <w:tcW w:w="180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r>
      <w:tr w:rsidR="008D48AB" w:rsidRPr="008D48AB" w:rsidTr="0048194B">
        <w:trPr>
          <w:trHeight w:val="320"/>
          <w:jc w:val="center"/>
        </w:trPr>
        <w:tc>
          <w:tcPr>
            <w:tcW w:w="1350" w:type="dxa"/>
            <w:vMerge/>
            <w:tcBorders>
              <w:top w:val="nil"/>
              <w:left w:val="nil"/>
              <w:bottom w:val="single" w:sz="8" w:space="0" w:color="000000"/>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63</w:t>
            </w:r>
          </w:p>
        </w:tc>
        <w:tc>
          <w:tcPr>
            <w:tcW w:w="1350" w:type="dxa"/>
            <w:tcBorders>
              <w:top w:val="nil"/>
              <w:left w:val="nil"/>
              <w:bottom w:val="single" w:sz="8" w:space="0" w:color="auto"/>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w:t>
            </w:r>
          </w:p>
        </w:tc>
        <w:tc>
          <w:tcPr>
            <w:tcW w:w="1800" w:type="dxa"/>
            <w:tcBorders>
              <w:top w:val="nil"/>
              <w:left w:val="nil"/>
              <w:bottom w:val="single" w:sz="8" w:space="0" w:color="auto"/>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2-Aug</w:t>
            </w:r>
          </w:p>
        </w:tc>
      </w:tr>
    </w:tbl>
    <w:p w:rsidR="008D48AB" w:rsidRDefault="008D48AB" w:rsidP="008D48AB"/>
    <w:p w:rsidR="008D48AB" w:rsidRDefault="008D48AB" w:rsidP="008D48AB">
      <w:r>
        <w:br w:type="page"/>
      </w:r>
    </w:p>
    <w:tbl>
      <w:tblPr>
        <w:tblW w:w="9560" w:type="dxa"/>
        <w:tblLook w:val="04A0" w:firstRow="1" w:lastRow="0" w:firstColumn="1" w:lastColumn="0" w:noHBand="0" w:noVBand="1"/>
      </w:tblPr>
      <w:tblGrid>
        <w:gridCol w:w="2280"/>
        <w:gridCol w:w="1087"/>
        <w:gridCol w:w="576"/>
        <w:gridCol w:w="576"/>
        <w:gridCol w:w="576"/>
        <w:gridCol w:w="576"/>
        <w:gridCol w:w="576"/>
        <w:gridCol w:w="576"/>
        <w:gridCol w:w="2737"/>
      </w:tblGrid>
      <w:tr w:rsidR="008D48AB" w:rsidRPr="008D48AB" w:rsidTr="008D48AB">
        <w:trPr>
          <w:trHeight w:val="630"/>
        </w:trPr>
        <w:tc>
          <w:tcPr>
            <w:tcW w:w="9560" w:type="dxa"/>
            <w:gridSpan w:val="9"/>
            <w:tcBorders>
              <w:top w:val="nil"/>
              <w:left w:val="nil"/>
              <w:bottom w:val="single" w:sz="8" w:space="0" w:color="auto"/>
              <w:right w:val="nil"/>
            </w:tcBorders>
            <w:shd w:val="clear" w:color="auto" w:fill="auto"/>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2.</w:t>
            </w:r>
            <w:r w:rsidRPr="008D48AB">
              <w:rPr>
                <w:rFonts w:ascii="Calibri" w:eastAsia="Times New Roman" w:hAnsi="Calibri" w:cs="Calibri"/>
                <w:color w:val="000000"/>
                <w:sz w:val="24"/>
                <w:szCs w:val="24"/>
              </w:rPr>
              <w:t xml:space="preserve"> Gulf state season open days by wave annually. Each wave consists of two months, for instance wave one consists of open days in January and February of a given year.</w:t>
            </w:r>
          </w:p>
        </w:tc>
      </w:tr>
      <w:tr w:rsidR="008D48AB" w:rsidRPr="008D48AB" w:rsidTr="008D48AB">
        <w:trPr>
          <w:trHeight w:val="320"/>
        </w:trPr>
        <w:tc>
          <w:tcPr>
            <w:tcW w:w="228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State</w:t>
            </w:r>
          </w:p>
        </w:tc>
        <w:tc>
          <w:tcPr>
            <w:tcW w:w="1087"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1</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2</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3</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4</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5</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6</w:t>
            </w:r>
          </w:p>
        </w:tc>
        <w:tc>
          <w:tcPr>
            <w:tcW w:w="2737"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Annual Total</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118</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78</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109</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lastRenderedPageBreak/>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20"/>
        </w:trPr>
        <w:tc>
          <w:tcPr>
            <w:tcW w:w="228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366</w:t>
            </w:r>
          </w:p>
        </w:tc>
      </w:tr>
    </w:tbl>
    <w:p w:rsidR="008D48AB" w:rsidRDefault="008D48AB" w:rsidP="008D48AB"/>
    <w:p w:rsidR="008D48AB" w:rsidRDefault="008D48AB" w:rsidP="008D48AB">
      <w:r>
        <w:br w:type="page"/>
      </w:r>
    </w:p>
    <w:tbl>
      <w:tblPr>
        <w:tblW w:w="7600" w:type="dxa"/>
        <w:tblLook w:val="04A0" w:firstRow="1" w:lastRow="0" w:firstColumn="1" w:lastColumn="0" w:noHBand="0" w:noVBand="1"/>
      </w:tblPr>
      <w:tblGrid>
        <w:gridCol w:w="756"/>
        <w:gridCol w:w="1200"/>
        <w:gridCol w:w="1022"/>
        <w:gridCol w:w="1200"/>
        <w:gridCol w:w="1200"/>
        <w:gridCol w:w="1200"/>
        <w:gridCol w:w="1022"/>
      </w:tblGrid>
      <w:tr w:rsidR="008D48AB" w:rsidRPr="008D48AB" w:rsidTr="008D48AB">
        <w:trPr>
          <w:trHeight w:val="720"/>
        </w:trPr>
        <w:tc>
          <w:tcPr>
            <w:tcW w:w="7600" w:type="dxa"/>
            <w:gridSpan w:val="7"/>
            <w:tcBorders>
              <w:top w:val="nil"/>
              <w:left w:val="nil"/>
              <w:bottom w:val="single" w:sz="8" w:space="0" w:color="auto"/>
              <w:right w:val="nil"/>
            </w:tcBorders>
            <w:shd w:val="clear" w:color="auto" w:fill="auto"/>
            <w:hideMark/>
          </w:tcPr>
          <w:p w:rsidR="008D48AB" w:rsidRPr="008D48AB" w:rsidRDefault="008D48AB" w:rsidP="00E06632">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3.</w:t>
            </w:r>
            <w:r w:rsidRPr="008D48AB">
              <w:rPr>
                <w:rFonts w:ascii="Calibri" w:eastAsia="Times New Roman" w:hAnsi="Calibri" w:cs="Calibri"/>
                <w:color w:val="000000"/>
                <w:sz w:val="24"/>
                <w:szCs w:val="24"/>
              </w:rPr>
              <w:t xml:space="preserve"> </w:t>
            </w:r>
            <w:r w:rsidR="00E06632">
              <w:rPr>
                <w:rFonts w:ascii="Calibri" w:eastAsia="Times New Roman" w:hAnsi="Calibri" w:cs="Calibri"/>
                <w:color w:val="000000"/>
                <w:sz w:val="24"/>
                <w:szCs w:val="24"/>
              </w:rPr>
              <w:t xml:space="preserve">General recreational </w:t>
            </w:r>
            <w:r w:rsidRPr="008D48AB">
              <w:rPr>
                <w:rFonts w:ascii="Calibri" w:eastAsia="Times New Roman" w:hAnsi="Calibri" w:cs="Calibri"/>
                <w:color w:val="000000"/>
                <w:sz w:val="24"/>
                <w:szCs w:val="24"/>
              </w:rPr>
              <w:t>Charter</w:t>
            </w:r>
            <w:r w:rsidR="00E06632">
              <w:rPr>
                <w:rFonts w:ascii="Calibri" w:eastAsia="Times New Roman" w:hAnsi="Calibri" w:cs="Calibri"/>
                <w:color w:val="000000"/>
                <w:sz w:val="24"/>
                <w:szCs w:val="24"/>
              </w:rPr>
              <w:t>/For-Hire</w:t>
            </w:r>
            <w:r w:rsidRPr="008D48AB">
              <w:rPr>
                <w:rFonts w:ascii="Calibri" w:eastAsia="Times New Roman" w:hAnsi="Calibri" w:cs="Calibri"/>
                <w:color w:val="000000"/>
                <w:sz w:val="24"/>
                <w:szCs w:val="24"/>
              </w:rPr>
              <w:t xml:space="preserve"> </w:t>
            </w:r>
            <w:r w:rsidR="00E06632">
              <w:rPr>
                <w:rFonts w:ascii="Calibri" w:eastAsia="Times New Roman" w:hAnsi="Calibri" w:cs="Calibri"/>
                <w:color w:val="000000"/>
                <w:sz w:val="24"/>
                <w:szCs w:val="24"/>
              </w:rPr>
              <w:t xml:space="preserve">component </w:t>
            </w:r>
            <w:r w:rsidRPr="008D48AB">
              <w:rPr>
                <w:rFonts w:ascii="Calibri" w:eastAsia="Times New Roman" w:hAnsi="Calibri" w:cs="Calibri"/>
                <w:color w:val="000000"/>
                <w:sz w:val="24"/>
                <w:szCs w:val="24"/>
              </w:rPr>
              <w:t>discards in numbers of fish (thousands) per season (open/closed) and stock ID region (central, east, and west).</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p>
        </w:tc>
        <w:tc>
          <w:tcPr>
            <w:tcW w:w="3422"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w:t>
            </w:r>
          </w:p>
        </w:tc>
        <w:tc>
          <w:tcPr>
            <w:tcW w:w="3422"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Closed</w:t>
            </w:r>
          </w:p>
        </w:tc>
      </w:tr>
      <w:tr w:rsidR="008D48AB" w:rsidRPr="008D48AB" w:rsidTr="008D48AB">
        <w:trPr>
          <w:trHeight w:val="320"/>
        </w:trPr>
        <w:tc>
          <w:tcPr>
            <w:tcW w:w="75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022"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022"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0.488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7.736</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0.396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13.299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1.526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3.784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3.594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2.285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1.007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0.027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7.325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17.128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2.566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42.598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1.642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1.802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64.906</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1.213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35.092</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4.604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80.687</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64.074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196.019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140.526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317.612</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1.018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111.920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260.033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67.206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273.364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0.057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107.784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401.693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89.025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486.469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90.822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833.406</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0.231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61.019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14.866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0.311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0.396</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588.805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2.892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47.398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88.149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0.184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0.625</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715.193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1.918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12.322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143.259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0.555</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369.340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0.170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8.454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135.403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0.089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1.533</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472.442</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0.076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15.101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99.096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2.682</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465.100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36.578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90.025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1.141</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498.264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0.300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55.881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75.088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2.578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3.541</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531.107</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177.149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82.524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0.693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1.380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484.190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0.522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166.530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87.763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1.044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30.359</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651.505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7.987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188.840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151.697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9.691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13.496</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581.523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0.230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121.512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103.570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2.001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4.107</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166.667</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2.384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39.651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319.822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13.723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28.545</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213.608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4.877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13.875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262.248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12.779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19.249</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55.901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1.806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170.751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2.243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2.654</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99.759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4.564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276.186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1.948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2.821</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65.409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0.624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7.697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193.049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0.720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11.463</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77.989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4.882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11.481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324.961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6.315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16.226</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12.228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1.129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3.612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269.320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7.950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3.364</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63.244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5.520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8.449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195.166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9.621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9.332</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116.904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6.601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299.905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36.881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6.453</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lastRenderedPageBreak/>
              <w:t>2017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184.248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14.473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4.597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353.694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145.530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5.324</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128.464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15.931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2.991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293.567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43.095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3.953</w:t>
            </w:r>
          </w:p>
        </w:tc>
      </w:tr>
      <w:tr w:rsidR="008D48AB" w:rsidRPr="008D48AB" w:rsidTr="008D48AB">
        <w:trPr>
          <w:trHeight w:val="320"/>
        </w:trPr>
        <w:tc>
          <w:tcPr>
            <w:tcW w:w="75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158.788</w:t>
            </w:r>
          </w:p>
        </w:tc>
        <w:tc>
          <w:tcPr>
            <w:tcW w:w="1022"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9.610</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15.856</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338.369</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15.550</w:t>
            </w:r>
          </w:p>
        </w:tc>
        <w:tc>
          <w:tcPr>
            <w:tcW w:w="1022"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18.104</w:t>
            </w:r>
          </w:p>
        </w:tc>
      </w:tr>
    </w:tbl>
    <w:p w:rsidR="008D48AB" w:rsidRDefault="008D48AB" w:rsidP="008D48AB"/>
    <w:p w:rsidR="008D48AB" w:rsidRDefault="008D48AB" w:rsidP="008D48AB">
      <w:r>
        <w:br w:type="page"/>
      </w:r>
    </w:p>
    <w:tbl>
      <w:tblPr>
        <w:tblW w:w="8940" w:type="dxa"/>
        <w:tblLook w:val="04A0" w:firstRow="1" w:lastRow="0" w:firstColumn="1" w:lastColumn="0" w:noHBand="0" w:noVBand="1"/>
      </w:tblPr>
      <w:tblGrid>
        <w:gridCol w:w="796"/>
        <w:gridCol w:w="12"/>
        <w:gridCol w:w="1439"/>
        <w:gridCol w:w="37"/>
        <w:gridCol w:w="1039"/>
        <w:gridCol w:w="246"/>
        <w:gridCol w:w="1205"/>
        <w:gridCol w:w="80"/>
        <w:gridCol w:w="1371"/>
        <w:gridCol w:w="105"/>
        <w:gridCol w:w="905"/>
        <w:gridCol w:w="441"/>
        <w:gridCol w:w="844"/>
        <w:gridCol w:w="420"/>
      </w:tblGrid>
      <w:tr w:rsidR="008D48AB" w:rsidRPr="008D48AB" w:rsidTr="008D48AB">
        <w:trPr>
          <w:trHeight w:val="720"/>
        </w:trPr>
        <w:tc>
          <w:tcPr>
            <w:tcW w:w="8940" w:type="dxa"/>
            <w:gridSpan w:val="14"/>
            <w:tcBorders>
              <w:top w:val="nil"/>
              <w:left w:val="nil"/>
              <w:bottom w:val="single" w:sz="8" w:space="0" w:color="auto"/>
              <w:right w:val="nil"/>
            </w:tcBorders>
            <w:shd w:val="clear" w:color="auto" w:fill="auto"/>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4.</w:t>
            </w:r>
            <w:r w:rsidR="00613D56">
              <w:rPr>
                <w:rFonts w:ascii="Calibri" w:eastAsia="Times New Roman" w:hAnsi="Calibri" w:cs="Calibri"/>
                <w:color w:val="000000"/>
                <w:sz w:val="24"/>
                <w:szCs w:val="24"/>
              </w:rPr>
              <w:t xml:space="preserve"> General recreational private component</w:t>
            </w:r>
            <w:r w:rsidRPr="008D48AB">
              <w:rPr>
                <w:rFonts w:ascii="Calibri" w:eastAsia="Times New Roman" w:hAnsi="Calibri" w:cs="Calibri"/>
                <w:color w:val="000000"/>
                <w:sz w:val="24"/>
                <w:szCs w:val="24"/>
              </w:rPr>
              <w:t xml:space="preserve"> discards in federal waters in numbers of fish (thousands) per season (open/closed) and stock ID region (central, east, and west).</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Times New Roman" w:eastAsia="Times New Roman" w:hAnsi="Times New Roman" w:cs="Times New Roman"/>
                <w:sz w:val="20"/>
                <w:szCs w:val="20"/>
              </w:rPr>
            </w:pP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Times New Roman" w:eastAsia="Times New Roman" w:hAnsi="Times New Roman" w:cs="Times New Roman"/>
                <w:sz w:val="20"/>
                <w:szCs w:val="20"/>
              </w:rPr>
            </w:pP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Closed</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p>
        </w:tc>
      </w:tr>
      <w:tr w:rsidR="008D48AB" w:rsidRPr="008D48AB" w:rsidTr="008D48AB">
        <w:trPr>
          <w:trHeight w:val="320"/>
        </w:trPr>
        <w:tc>
          <w:tcPr>
            <w:tcW w:w="79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0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451" w:type="dxa"/>
            <w:gridSpan w:val="3"/>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264"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179.403</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76.357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63.443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13.169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6.491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4.470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0.695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82.405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43.561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0.925</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41.324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204.990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13.528</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11.688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38.582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113.799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3.103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120.038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9.133</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35.687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529.273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323.028</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7.022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371.122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772.205</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21.540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422.258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1587.532</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78.277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410.625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1315.577</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80.073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450.630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1657.182</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29.726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528.829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940.422</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38.864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1213.187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226.084</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13.967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1942.650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1014.854</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35.811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413.058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2024.065</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25.990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482.627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243.967</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5.803</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831.318</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12.660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739.975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281.524</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52.945</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51.693</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2312.350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26.440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2006.895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371.640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23.419</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30.496</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1316.588</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66.169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547.257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1245.758</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1.556</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178.707</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1673.859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5.729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458.869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2698.898</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55.735</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3289.216</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6.874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723.429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3136.651</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64.182</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2425.089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1413.722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1924.069</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2.920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338.460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3415.206</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25.301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2967.127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1089.849</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67.293</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219.802</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2388.489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92.921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1880.349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1639.565</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36.258</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144.177</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2892.932</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30.938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2060.152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1280.177</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24.378</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180.231</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4146.943</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43.270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916.910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1549.033</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153.302</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929.750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4.081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1193.048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3426.382</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36.400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414.570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1497.497</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51.471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795.670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2339.131</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51.364</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329.754</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1024.479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24.247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721.046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3401.432</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105.221</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331.823</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881.733</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8.014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900.650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2847.783</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1492.565</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434.584</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684.466</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3.687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459.849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3286.846</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10.601</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230.126</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770.844</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3.026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297.268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1514.132</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5.490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545.272</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120.990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6.504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13.251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1816.167</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42.881</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87.797</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226.239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1.265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31.544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1675.008</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22.736</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206.912</w:t>
            </w:r>
          </w:p>
        </w:tc>
      </w:tr>
      <w:tr w:rsidR="008D48AB" w:rsidRPr="008D48AB" w:rsidTr="008D48AB">
        <w:trPr>
          <w:trHeight w:val="320"/>
        </w:trPr>
        <w:tc>
          <w:tcPr>
            <w:tcW w:w="79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329.841</w:t>
            </w:r>
          </w:p>
        </w:tc>
        <w:tc>
          <w:tcPr>
            <w:tcW w:w="10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8.600</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6.070</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3280.131</w:t>
            </w:r>
          </w:p>
        </w:tc>
        <w:tc>
          <w:tcPr>
            <w:tcW w:w="1451" w:type="dxa"/>
            <w:gridSpan w:val="3"/>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672.268</w:t>
            </w:r>
          </w:p>
        </w:tc>
        <w:tc>
          <w:tcPr>
            <w:tcW w:w="1264"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30.168</w:t>
            </w:r>
          </w:p>
        </w:tc>
      </w:tr>
      <w:tr w:rsidR="008D48AB" w:rsidRPr="008D48AB" w:rsidTr="008D48AB">
        <w:trPr>
          <w:gridAfter w:val="1"/>
          <w:wAfter w:w="420" w:type="dxa"/>
          <w:trHeight w:val="700"/>
        </w:trPr>
        <w:tc>
          <w:tcPr>
            <w:tcW w:w="8520" w:type="dxa"/>
            <w:gridSpan w:val="13"/>
            <w:tcBorders>
              <w:top w:val="nil"/>
              <w:left w:val="nil"/>
              <w:bottom w:val="single" w:sz="8" w:space="0" w:color="auto"/>
              <w:right w:val="nil"/>
            </w:tcBorders>
            <w:shd w:val="clear" w:color="auto" w:fill="auto"/>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5.</w:t>
            </w:r>
            <w:r w:rsidRPr="008D48AB">
              <w:rPr>
                <w:rFonts w:ascii="Calibri" w:eastAsia="Times New Roman" w:hAnsi="Calibri" w:cs="Calibri"/>
                <w:color w:val="000000"/>
                <w:sz w:val="24"/>
                <w:szCs w:val="24"/>
              </w:rPr>
              <w:t xml:space="preserve"> </w:t>
            </w:r>
            <w:r w:rsidR="00613D56">
              <w:rPr>
                <w:rFonts w:ascii="Calibri" w:eastAsia="Times New Roman" w:hAnsi="Calibri" w:cs="Calibri"/>
                <w:color w:val="000000"/>
                <w:sz w:val="24"/>
                <w:szCs w:val="24"/>
              </w:rPr>
              <w:t>General recreational private component</w:t>
            </w:r>
            <w:r w:rsidR="00613D56" w:rsidRPr="008D48AB">
              <w:rPr>
                <w:rFonts w:ascii="Calibri" w:eastAsia="Times New Roman" w:hAnsi="Calibri" w:cs="Calibri"/>
                <w:color w:val="000000"/>
                <w:sz w:val="24"/>
                <w:szCs w:val="24"/>
              </w:rPr>
              <w:t xml:space="preserve"> </w:t>
            </w:r>
            <w:r w:rsidRPr="008D48AB">
              <w:rPr>
                <w:rFonts w:ascii="Calibri" w:eastAsia="Times New Roman" w:hAnsi="Calibri" w:cs="Calibri"/>
                <w:color w:val="000000"/>
                <w:sz w:val="24"/>
                <w:szCs w:val="24"/>
              </w:rPr>
              <w:t>discards in state waters in numbers of fish (thousands) per season (open/closed) and stock ID region (central, east, and west).</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p>
        </w:tc>
        <w:tc>
          <w:tcPr>
            <w:tcW w:w="4046" w:type="dxa"/>
            <w:gridSpan w:val="6"/>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w:t>
            </w:r>
          </w:p>
        </w:tc>
        <w:tc>
          <w:tcPr>
            <w:tcW w:w="3666" w:type="dxa"/>
            <w:gridSpan w:val="5"/>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Closed</w:t>
            </w:r>
          </w:p>
        </w:tc>
      </w:tr>
      <w:tr w:rsidR="008D48AB" w:rsidRPr="008D48AB" w:rsidTr="008D48AB">
        <w:trPr>
          <w:gridAfter w:val="1"/>
          <w:wAfter w:w="420" w:type="dxa"/>
          <w:trHeight w:val="320"/>
        </w:trPr>
        <w:tc>
          <w:tcPr>
            <w:tcW w:w="808"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14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c>
          <w:tcPr>
            <w:tcW w:w="14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905"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870.272</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991.406</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1716.142</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2.298</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332.383</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524.337</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1595.453</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351.058</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514.676</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905.458</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633.780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82.619</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15.041</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1238.843</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12.252</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2727.022</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320.400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61.761</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5539.613</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198.966</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1052.638</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380.821</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123.727</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3972.806</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523.313</w:t>
            </w:r>
          </w:p>
        </w:tc>
      </w:tr>
      <w:tr w:rsidR="008D48AB" w:rsidRPr="008D48AB" w:rsidTr="008D48AB">
        <w:trPr>
          <w:gridAfter w:val="1"/>
          <w:wAfter w:w="420" w:type="dxa"/>
          <w:trHeight w:val="320"/>
        </w:trPr>
        <w:tc>
          <w:tcPr>
            <w:tcW w:w="808"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14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1186.893</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844.184</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61.010</w:t>
            </w:r>
          </w:p>
        </w:tc>
        <w:tc>
          <w:tcPr>
            <w:tcW w:w="14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4577.792</w:t>
            </w:r>
          </w:p>
        </w:tc>
        <w:tc>
          <w:tcPr>
            <w:tcW w:w="905"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334.141</w:t>
            </w:r>
          </w:p>
        </w:tc>
      </w:tr>
    </w:tbl>
    <w:p w:rsidR="008D48AB" w:rsidRPr="008D48AB" w:rsidRDefault="008D48AB" w:rsidP="008D48AB"/>
    <w:p w:rsidR="00EF56F5" w:rsidRDefault="00EF56F5" w:rsidP="00EF56F5"/>
    <w:p w:rsidR="008D48AB" w:rsidRDefault="008D48AB">
      <w:r>
        <w:br w:type="page"/>
      </w:r>
    </w:p>
    <w:tbl>
      <w:tblPr>
        <w:tblW w:w="7080" w:type="dxa"/>
        <w:tblLook w:val="04A0" w:firstRow="1" w:lastRow="0" w:firstColumn="1" w:lastColumn="0" w:noHBand="0" w:noVBand="1"/>
      </w:tblPr>
      <w:tblGrid>
        <w:gridCol w:w="703"/>
        <w:gridCol w:w="1007"/>
        <w:gridCol w:w="1129"/>
        <w:gridCol w:w="1129"/>
        <w:gridCol w:w="1129"/>
        <w:gridCol w:w="1129"/>
        <w:gridCol w:w="1007"/>
      </w:tblGrid>
      <w:tr w:rsidR="008D48AB" w:rsidRPr="008D48AB" w:rsidTr="008D48AB">
        <w:trPr>
          <w:trHeight w:val="540"/>
        </w:trPr>
        <w:tc>
          <w:tcPr>
            <w:tcW w:w="7080" w:type="dxa"/>
            <w:gridSpan w:val="7"/>
            <w:tcBorders>
              <w:top w:val="nil"/>
              <w:left w:val="nil"/>
              <w:bottom w:val="single" w:sz="8" w:space="0" w:color="auto"/>
              <w:right w:val="nil"/>
            </w:tcBorders>
            <w:shd w:val="clear" w:color="auto" w:fill="auto"/>
            <w:hideMark/>
          </w:tcPr>
          <w:p w:rsidR="008D48AB" w:rsidRPr="008D48AB" w:rsidRDefault="008D48AB" w:rsidP="00613D56">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6.</w:t>
            </w:r>
            <w:r w:rsidRPr="008D48AB">
              <w:rPr>
                <w:rFonts w:ascii="Calibri" w:eastAsia="Times New Roman" w:hAnsi="Calibri" w:cs="Calibri"/>
                <w:color w:val="000000"/>
                <w:sz w:val="24"/>
                <w:szCs w:val="24"/>
              </w:rPr>
              <w:t xml:space="preserve"> Total State and Federal Private </w:t>
            </w:r>
            <w:r w:rsidR="00613D56">
              <w:rPr>
                <w:rFonts w:ascii="Calibri" w:eastAsia="Times New Roman" w:hAnsi="Calibri" w:cs="Calibri"/>
                <w:color w:val="000000"/>
                <w:sz w:val="24"/>
                <w:szCs w:val="24"/>
              </w:rPr>
              <w:t>component</w:t>
            </w:r>
            <w:r w:rsidRPr="008D48AB">
              <w:rPr>
                <w:rFonts w:ascii="Calibri" w:eastAsia="Times New Roman" w:hAnsi="Calibri" w:cs="Calibri"/>
                <w:color w:val="000000"/>
                <w:sz w:val="24"/>
                <w:szCs w:val="24"/>
              </w:rPr>
              <w:t xml:space="preserve"> discards in numbers of fish (thousands) by season (open/closed) and stock ID region.</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p>
        </w:tc>
        <w:tc>
          <w:tcPr>
            <w:tcW w:w="3232" w:type="dxa"/>
            <w:gridSpan w:val="3"/>
            <w:tcBorders>
              <w:top w:val="single" w:sz="8" w:space="0" w:color="auto"/>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w:t>
            </w:r>
          </w:p>
        </w:tc>
        <w:tc>
          <w:tcPr>
            <w:tcW w:w="3232" w:type="dxa"/>
            <w:gridSpan w:val="3"/>
            <w:tcBorders>
              <w:top w:val="single" w:sz="8" w:space="0" w:color="auto"/>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Closed</w:t>
            </w:r>
          </w:p>
        </w:tc>
      </w:tr>
      <w:tr w:rsidR="008D48AB" w:rsidRPr="008D48AB" w:rsidTr="008D48AB">
        <w:trPr>
          <w:trHeight w:val="320"/>
        </w:trPr>
        <w:tc>
          <w:tcPr>
            <w:tcW w:w="61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98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12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12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c>
          <w:tcPr>
            <w:tcW w:w="112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12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98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1981</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76.357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179.403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63.443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1982</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13.169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6.491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1983</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4.470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0.695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1984</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82.405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43.561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1985</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41.324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0.925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204.990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1986</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11.688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13.528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38.582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1987</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3.103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113.799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120.038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1988</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35.687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9.133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529.273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1989</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7.022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323.028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371.122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21.540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772.205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422.258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1991</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78.277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1587.532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410.625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1992</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80.073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1315.577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450.630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1993</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29.726</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1657.182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528.829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1994</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38.864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940.422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1213.187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1995</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13.967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226.084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1942.650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1996</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35.811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1014.854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413.058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1997</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25.990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2024.065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482.627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243.967</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5.803</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1998</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12.660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831.318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739.975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52.945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281.524</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51.693</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1999</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26.440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2312.350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2006.895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23.419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371.640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30.496</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66.169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1316.588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547.257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1.556</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1245.758</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178.707</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2001</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5.729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1673.859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458.869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2698.898</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55.735</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2002</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6.874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3289.216</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723.429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3136.651</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64.182</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2003</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2425.089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1413.722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2.920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1924.069</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338.460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2004</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25.301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3415.206</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2967.127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67.293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1089.849</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219.802</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2005</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92.921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2388.489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1880.349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36.258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1639.565</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144.177</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2006</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30.938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2892.932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2060.152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24.378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1280.177</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180.231</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2007</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43.270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4146.943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916.910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1549.033</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153.302</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2008</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4.081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929.750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1193.048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36.400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3426.382</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414.570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2009</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51.471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1497.497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795.670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51.364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2339.131</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329.754</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24.247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1024.479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721.046</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105.221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3401.432</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331.823</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2011</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8.014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881.733</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900.650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1492.565</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2847.783</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434.584</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2012</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3.687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684.466</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459.849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10.601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3286.846</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230.126</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994.432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1641.116</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297.268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7.788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3230.274</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545.272</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530.841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453.374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13.251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42.881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3411.620</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87.797</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515.941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577.297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31.544</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22.736</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2580.466</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206.912</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91.219</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963.622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21.111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672.268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4518.973</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42.420</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lastRenderedPageBreak/>
              <w:t>2017</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320.400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2727.022</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61.761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5539.613</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198.966</w:t>
            </w:r>
          </w:p>
        </w:tc>
      </w:tr>
      <w:tr w:rsidR="008D48AB" w:rsidRPr="008D48AB" w:rsidTr="008D48AB">
        <w:trPr>
          <w:trHeight w:val="310"/>
        </w:trPr>
        <w:tc>
          <w:tcPr>
            <w:tcW w:w="61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380.821</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1052.638</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123.727</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3972.806</w:t>
            </w:r>
          </w:p>
        </w:tc>
        <w:tc>
          <w:tcPr>
            <w:tcW w:w="9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523.313</w:t>
            </w:r>
          </w:p>
        </w:tc>
      </w:tr>
      <w:tr w:rsidR="008D48AB" w:rsidRPr="008D48AB" w:rsidTr="008D48AB">
        <w:trPr>
          <w:trHeight w:val="320"/>
        </w:trPr>
        <w:tc>
          <w:tcPr>
            <w:tcW w:w="61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98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844.184</w:t>
            </w:r>
          </w:p>
        </w:tc>
        <w:tc>
          <w:tcPr>
            <w:tcW w:w="112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1186.893</w:t>
            </w:r>
          </w:p>
        </w:tc>
        <w:tc>
          <w:tcPr>
            <w:tcW w:w="112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61.010</w:t>
            </w:r>
          </w:p>
        </w:tc>
        <w:tc>
          <w:tcPr>
            <w:tcW w:w="112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12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4577.792</w:t>
            </w:r>
          </w:p>
        </w:tc>
        <w:tc>
          <w:tcPr>
            <w:tcW w:w="98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334.141</w:t>
            </w:r>
          </w:p>
        </w:tc>
      </w:tr>
    </w:tbl>
    <w:p w:rsidR="00EF56F5" w:rsidRPr="00EF56F5" w:rsidRDefault="00EF56F5" w:rsidP="00EF56F5"/>
    <w:sectPr w:rsidR="00EF56F5" w:rsidRPr="00EF56F5" w:rsidSect="00FD5D4A">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7AA" w:rsidRDefault="004D77AA" w:rsidP="00FD5D4A">
      <w:pPr>
        <w:spacing w:after="0" w:line="240" w:lineRule="auto"/>
      </w:pPr>
      <w:r>
        <w:separator/>
      </w:r>
    </w:p>
  </w:endnote>
  <w:endnote w:type="continuationSeparator" w:id="0">
    <w:p w:rsidR="004D77AA" w:rsidRDefault="004D77AA" w:rsidP="00FD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982763"/>
      <w:docPartObj>
        <w:docPartGallery w:val="Page Numbers (Bottom of Page)"/>
        <w:docPartUnique/>
      </w:docPartObj>
    </w:sdtPr>
    <w:sdtEndPr>
      <w:rPr>
        <w:noProof/>
      </w:rPr>
    </w:sdtEndPr>
    <w:sdtContent>
      <w:p w:rsidR="00593448" w:rsidRDefault="00593448">
        <w:pPr>
          <w:pStyle w:val="Footer"/>
          <w:jc w:val="right"/>
        </w:pPr>
        <w:r>
          <w:fldChar w:fldCharType="begin"/>
        </w:r>
        <w:r>
          <w:instrText xml:space="preserve"> PAGE   \* MERGEFORMAT </w:instrText>
        </w:r>
        <w:r>
          <w:fldChar w:fldCharType="separate"/>
        </w:r>
        <w:r w:rsidR="008C71F2">
          <w:rPr>
            <w:noProof/>
          </w:rPr>
          <w:t>16</w:t>
        </w:r>
        <w:r>
          <w:rPr>
            <w:noProof/>
          </w:rPr>
          <w:fldChar w:fldCharType="end"/>
        </w:r>
      </w:p>
    </w:sdtContent>
  </w:sdt>
  <w:p w:rsidR="00593448" w:rsidRDefault="00593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7AA" w:rsidRDefault="004D77AA" w:rsidP="00FD5D4A">
      <w:pPr>
        <w:spacing w:after="0" w:line="240" w:lineRule="auto"/>
      </w:pPr>
      <w:r>
        <w:separator/>
      </w:r>
    </w:p>
  </w:footnote>
  <w:footnote w:type="continuationSeparator" w:id="0">
    <w:p w:rsidR="004D77AA" w:rsidRDefault="004D77AA" w:rsidP="00FD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448" w:rsidRDefault="00593448" w:rsidP="00CF742E">
    <w:pPr>
      <w:pStyle w:val="Header"/>
      <w:jc w:val="right"/>
    </w:pPr>
    <w:r>
      <w:t>SEDAR74-DW-XX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448" w:rsidRDefault="00593448" w:rsidP="00FD5D4A">
    <w:pPr>
      <w:pStyle w:val="Header"/>
      <w:jc w:val="center"/>
    </w:pPr>
    <w:r>
      <w:rPr>
        <w:noProof/>
      </w:rPr>
      <w:drawing>
        <wp:inline distT="0" distB="0" distL="0" distR="0" wp14:anchorId="53673526" wp14:editId="396ED5B6">
          <wp:extent cx="1879600" cy="1006630"/>
          <wp:effectExtent l="0" t="0" r="6350" b="3175"/>
          <wp:docPr id="12" name="Picture 12" descr="Red Snapper – Gulf of Mexico Fishery Management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 Snapper – Gulf of Mexico Fishery Management Counc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617" cy="101360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03EB9"/>
    <w:multiLevelType w:val="hybridMultilevel"/>
    <w:tmpl w:val="237A64A2"/>
    <w:lvl w:ilvl="0" w:tplc="AD562E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6E"/>
    <w:rsid w:val="00000BE3"/>
    <w:rsid w:val="00035C09"/>
    <w:rsid w:val="000462C5"/>
    <w:rsid w:val="00060A9F"/>
    <w:rsid w:val="00062CD5"/>
    <w:rsid w:val="00065408"/>
    <w:rsid w:val="0008222F"/>
    <w:rsid w:val="00091770"/>
    <w:rsid w:val="0009641F"/>
    <w:rsid w:val="000A044F"/>
    <w:rsid w:val="000A47D7"/>
    <w:rsid w:val="000B3576"/>
    <w:rsid w:val="000D1843"/>
    <w:rsid w:val="000E3C2B"/>
    <w:rsid w:val="001034C6"/>
    <w:rsid w:val="00107B3F"/>
    <w:rsid w:val="001260A0"/>
    <w:rsid w:val="001322A3"/>
    <w:rsid w:val="001655C3"/>
    <w:rsid w:val="00183C34"/>
    <w:rsid w:val="001A7A7A"/>
    <w:rsid w:val="001C02F3"/>
    <w:rsid w:val="001C0AAF"/>
    <w:rsid w:val="001E65A0"/>
    <w:rsid w:val="00206F47"/>
    <w:rsid w:val="00222139"/>
    <w:rsid w:val="00231D43"/>
    <w:rsid w:val="002563CA"/>
    <w:rsid w:val="00272C9C"/>
    <w:rsid w:val="002F174A"/>
    <w:rsid w:val="0031613F"/>
    <w:rsid w:val="00330604"/>
    <w:rsid w:val="00336E35"/>
    <w:rsid w:val="00350145"/>
    <w:rsid w:val="0038470C"/>
    <w:rsid w:val="003A39CE"/>
    <w:rsid w:val="003A540B"/>
    <w:rsid w:val="003C2023"/>
    <w:rsid w:val="003E3017"/>
    <w:rsid w:val="003E7D58"/>
    <w:rsid w:val="003F5586"/>
    <w:rsid w:val="0040294C"/>
    <w:rsid w:val="00444662"/>
    <w:rsid w:val="0048194B"/>
    <w:rsid w:val="004A3A2F"/>
    <w:rsid w:val="004B6668"/>
    <w:rsid w:val="004C7F21"/>
    <w:rsid w:val="004D77AA"/>
    <w:rsid w:val="004E12E2"/>
    <w:rsid w:val="004F4114"/>
    <w:rsid w:val="00503949"/>
    <w:rsid w:val="005139B4"/>
    <w:rsid w:val="0055250F"/>
    <w:rsid w:val="00592DD7"/>
    <w:rsid w:val="00593448"/>
    <w:rsid w:val="005B2109"/>
    <w:rsid w:val="005B29F9"/>
    <w:rsid w:val="005C2DCE"/>
    <w:rsid w:val="005F200F"/>
    <w:rsid w:val="00613D56"/>
    <w:rsid w:val="0061479C"/>
    <w:rsid w:val="006371BD"/>
    <w:rsid w:val="00641649"/>
    <w:rsid w:val="00644618"/>
    <w:rsid w:val="00656AE1"/>
    <w:rsid w:val="00660165"/>
    <w:rsid w:val="00676A0F"/>
    <w:rsid w:val="006A629B"/>
    <w:rsid w:val="006B7AE7"/>
    <w:rsid w:val="006C1F0A"/>
    <w:rsid w:val="006D6CD6"/>
    <w:rsid w:val="0070339C"/>
    <w:rsid w:val="007055B7"/>
    <w:rsid w:val="007222CB"/>
    <w:rsid w:val="00725EEB"/>
    <w:rsid w:val="007561FE"/>
    <w:rsid w:val="00760F4A"/>
    <w:rsid w:val="0077627D"/>
    <w:rsid w:val="00784DFF"/>
    <w:rsid w:val="007963A5"/>
    <w:rsid w:val="007A0BAE"/>
    <w:rsid w:val="007A3302"/>
    <w:rsid w:val="007B195A"/>
    <w:rsid w:val="007C15E0"/>
    <w:rsid w:val="007C1D21"/>
    <w:rsid w:val="007D3B59"/>
    <w:rsid w:val="007D5949"/>
    <w:rsid w:val="007F7B97"/>
    <w:rsid w:val="008320AF"/>
    <w:rsid w:val="008509D0"/>
    <w:rsid w:val="00857AC3"/>
    <w:rsid w:val="008743DF"/>
    <w:rsid w:val="00893AB4"/>
    <w:rsid w:val="008C71F2"/>
    <w:rsid w:val="008D48AB"/>
    <w:rsid w:val="008F3889"/>
    <w:rsid w:val="0090188E"/>
    <w:rsid w:val="00907A3E"/>
    <w:rsid w:val="00915CCE"/>
    <w:rsid w:val="00916459"/>
    <w:rsid w:val="00921EEE"/>
    <w:rsid w:val="009D587B"/>
    <w:rsid w:val="009F7AAE"/>
    <w:rsid w:val="00A262FD"/>
    <w:rsid w:val="00AB1F9D"/>
    <w:rsid w:val="00B32373"/>
    <w:rsid w:val="00B724C7"/>
    <w:rsid w:val="00BA52EF"/>
    <w:rsid w:val="00BB1DB4"/>
    <w:rsid w:val="00BC69D6"/>
    <w:rsid w:val="00BD37A1"/>
    <w:rsid w:val="00BF6E34"/>
    <w:rsid w:val="00C0061E"/>
    <w:rsid w:val="00C03806"/>
    <w:rsid w:val="00C33B39"/>
    <w:rsid w:val="00C62671"/>
    <w:rsid w:val="00C735FE"/>
    <w:rsid w:val="00C81644"/>
    <w:rsid w:val="00CA0A6E"/>
    <w:rsid w:val="00CA2ECB"/>
    <w:rsid w:val="00CC146F"/>
    <w:rsid w:val="00CD0C12"/>
    <w:rsid w:val="00CE3255"/>
    <w:rsid w:val="00CF742E"/>
    <w:rsid w:val="00D23C33"/>
    <w:rsid w:val="00D64EFA"/>
    <w:rsid w:val="00D76A50"/>
    <w:rsid w:val="00D858AC"/>
    <w:rsid w:val="00D9043D"/>
    <w:rsid w:val="00D9559E"/>
    <w:rsid w:val="00D96AE5"/>
    <w:rsid w:val="00DC431A"/>
    <w:rsid w:val="00DD75E7"/>
    <w:rsid w:val="00DE6E90"/>
    <w:rsid w:val="00DF10F7"/>
    <w:rsid w:val="00E06632"/>
    <w:rsid w:val="00E1745F"/>
    <w:rsid w:val="00E33A3D"/>
    <w:rsid w:val="00E66492"/>
    <w:rsid w:val="00E77106"/>
    <w:rsid w:val="00E86962"/>
    <w:rsid w:val="00EB05E9"/>
    <w:rsid w:val="00EB394B"/>
    <w:rsid w:val="00ED4870"/>
    <w:rsid w:val="00EF56F5"/>
    <w:rsid w:val="00F00574"/>
    <w:rsid w:val="00F7171A"/>
    <w:rsid w:val="00F954C5"/>
    <w:rsid w:val="00F97DE9"/>
    <w:rsid w:val="00FB19CD"/>
    <w:rsid w:val="00FB3EA7"/>
    <w:rsid w:val="00FD5D4A"/>
    <w:rsid w:val="00FE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19BF7-7D4E-4F03-8A82-75B923C9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3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61E"/>
    <w:pPr>
      <w:ind w:left="720"/>
      <w:contextualSpacing/>
    </w:pPr>
  </w:style>
  <w:style w:type="paragraph" w:customStyle="1" w:styleId="Default">
    <w:name w:val="Default"/>
    <w:rsid w:val="007B195A"/>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78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D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4D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357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858AC"/>
    <w:pPr>
      <w:spacing w:after="0" w:line="240" w:lineRule="auto"/>
    </w:pPr>
  </w:style>
  <w:style w:type="paragraph" w:styleId="Header">
    <w:name w:val="header"/>
    <w:basedOn w:val="Normal"/>
    <w:link w:val="HeaderChar"/>
    <w:uiPriority w:val="99"/>
    <w:unhideWhenUsed/>
    <w:rsid w:val="00FD5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D4A"/>
  </w:style>
  <w:style w:type="paragraph" w:styleId="Footer">
    <w:name w:val="footer"/>
    <w:basedOn w:val="Normal"/>
    <w:link w:val="FooterChar"/>
    <w:uiPriority w:val="99"/>
    <w:unhideWhenUsed/>
    <w:rsid w:val="00FD5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D4A"/>
  </w:style>
  <w:style w:type="paragraph" w:customStyle="1" w:styleId="Author">
    <w:name w:val="Author"/>
    <w:next w:val="BodyText"/>
    <w:qFormat/>
    <w:rsid w:val="00FD5D4A"/>
    <w:pPr>
      <w:keepNext/>
      <w:keepLines/>
      <w:spacing w:after="20" w:line="240" w:lineRule="auto"/>
      <w:jc w:val="center"/>
    </w:pPr>
    <w:rPr>
      <w:rFonts w:ascii="Times New Roman" w:hAnsi="Times New Roman" w:cs="Times New Roman"/>
      <w:sz w:val="24"/>
      <w:szCs w:val="24"/>
    </w:rPr>
  </w:style>
  <w:style w:type="paragraph" w:styleId="Date">
    <w:name w:val="Date"/>
    <w:next w:val="NoSpacing"/>
    <w:link w:val="DateChar"/>
    <w:qFormat/>
    <w:rsid w:val="00FD5D4A"/>
    <w:pPr>
      <w:keepNext/>
      <w:keepLines/>
      <w:spacing w:before="200" w:after="200" w:line="240" w:lineRule="auto"/>
      <w:jc w:val="center"/>
    </w:pPr>
    <w:rPr>
      <w:rFonts w:ascii="Times New Roman" w:hAnsi="Times New Roman" w:cs="Times New Roman"/>
      <w:sz w:val="28"/>
      <w:szCs w:val="24"/>
    </w:rPr>
  </w:style>
  <w:style w:type="character" w:customStyle="1" w:styleId="DateChar">
    <w:name w:val="Date Char"/>
    <w:basedOn w:val="DefaultParagraphFont"/>
    <w:link w:val="Date"/>
    <w:rsid w:val="00FD5D4A"/>
    <w:rPr>
      <w:rFonts w:ascii="Times New Roman" w:hAnsi="Times New Roman" w:cs="Times New Roman"/>
      <w:sz w:val="28"/>
      <w:szCs w:val="24"/>
    </w:rPr>
  </w:style>
  <w:style w:type="character" w:styleId="Hyperlink">
    <w:name w:val="Hyperlink"/>
    <w:basedOn w:val="DefaultParagraphFont"/>
    <w:uiPriority w:val="99"/>
    <w:rsid w:val="00FD5D4A"/>
    <w:rPr>
      <w:i/>
      <w:color w:val="5B9BD5" w:themeColor="accent1"/>
    </w:rPr>
  </w:style>
  <w:style w:type="paragraph" w:styleId="BodyText">
    <w:name w:val="Body Text"/>
    <w:basedOn w:val="Normal"/>
    <w:link w:val="BodyTextChar"/>
    <w:uiPriority w:val="99"/>
    <w:semiHidden/>
    <w:unhideWhenUsed/>
    <w:rsid w:val="00FD5D4A"/>
    <w:pPr>
      <w:spacing w:after="120"/>
    </w:pPr>
  </w:style>
  <w:style w:type="character" w:customStyle="1" w:styleId="BodyTextChar">
    <w:name w:val="Body Text Char"/>
    <w:basedOn w:val="DefaultParagraphFont"/>
    <w:link w:val="BodyText"/>
    <w:uiPriority w:val="99"/>
    <w:semiHidden/>
    <w:rsid w:val="00FD5D4A"/>
  </w:style>
  <w:style w:type="paragraph" w:styleId="BalloonText">
    <w:name w:val="Balloon Text"/>
    <w:basedOn w:val="Normal"/>
    <w:link w:val="BalloonTextChar"/>
    <w:uiPriority w:val="99"/>
    <w:semiHidden/>
    <w:unhideWhenUsed/>
    <w:rsid w:val="00644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618"/>
    <w:rPr>
      <w:rFonts w:ascii="Segoe UI" w:hAnsi="Segoe UI" w:cs="Segoe UI"/>
      <w:sz w:val="18"/>
      <w:szCs w:val="18"/>
    </w:rPr>
  </w:style>
  <w:style w:type="character" w:customStyle="1" w:styleId="Heading3Char">
    <w:name w:val="Heading 3 Char"/>
    <w:basedOn w:val="DefaultParagraphFont"/>
    <w:link w:val="Heading3"/>
    <w:uiPriority w:val="9"/>
    <w:rsid w:val="003E7D5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60F4A"/>
    <w:rPr>
      <w:color w:val="954F72" w:themeColor="followedHyperlink"/>
      <w:u w:val="single"/>
    </w:rPr>
  </w:style>
  <w:style w:type="paragraph" w:styleId="NormalWeb">
    <w:name w:val="Normal (Web)"/>
    <w:basedOn w:val="Normal"/>
    <w:uiPriority w:val="99"/>
    <w:semiHidden/>
    <w:unhideWhenUsed/>
    <w:rsid w:val="005F20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7386">
      <w:bodyDiv w:val="1"/>
      <w:marLeft w:val="0"/>
      <w:marRight w:val="0"/>
      <w:marTop w:val="0"/>
      <w:marBottom w:val="0"/>
      <w:divBdr>
        <w:top w:val="none" w:sz="0" w:space="0" w:color="auto"/>
        <w:left w:val="none" w:sz="0" w:space="0" w:color="auto"/>
        <w:bottom w:val="none" w:sz="0" w:space="0" w:color="auto"/>
        <w:right w:val="none" w:sz="0" w:space="0" w:color="auto"/>
      </w:divBdr>
    </w:div>
    <w:div w:id="276255969">
      <w:bodyDiv w:val="1"/>
      <w:marLeft w:val="0"/>
      <w:marRight w:val="0"/>
      <w:marTop w:val="0"/>
      <w:marBottom w:val="0"/>
      <w:divBdr>
        <w:top w:val="none" w:sz="0" w:space="0" w:color="auto"/>
        <w:left w:val="none" w:sz="0" w:space="0" w:color="auto"/>
        <w:bottom w:val="none" w:sz="0" w:space="0" w:color="auto"/>
        <w:right w:val="none" w:sz="0" w:space="0" w:color="auto"/>
      </w:divBdr>
    </w:div>
    <w:div w:id="672759139">
      <w:bodyDiv w:val="1"/>
      <w:marLeft w:val="0"/>
      <w:marRight w:val="0"/>
      <w:marTop w:val="0"/>
      <w:marBottom w:val="0"/>
      <w:divBdr>
        <w:top w:val="none" w:sz="0" w:space="0" w:color="auto"/>
        <w:left w:val="none" w:sz="0" w:space="0" w:color="auto"/>
        <w:bottom w:val="none" w:sz="0" w:space="0" w:color="auto"/>
        <w:right w:val="none" w:sz="0" w:space="0" w:color="auto"/>
      </w:divBdr>
    </w:div>
    <w:div w:id="966593567">
      <w:bodyDiv w:val="1"/>
      <w:marLeft w:val="0"/>
      <w:marRight w:val="0"/>
      <w:marTop w:val="0"/>
      <w:marBottom w:val="0"/>
      <w:divBdr>
        <w:top w:val="none" w:sz="0" w:space="0" w:color="auto"/>
        <w:left w:val="none" w:sz="0" w:space="0" w:color="auto"/>
        <w:bottom w:val="none" w:sz="0" w:space="0" w:color="auto"/>
        <w:right w:val="none" w:sz="0" w:space="0" w:color="auto"/>
      </w:divBdr>
    </w:div>
    <w:div w:id="1484010696">
      <w:bodyDiv w:val="1"/>
      <w:marLeft w:val="0"/>
      <w:marRight w:val="0"/>
      <w:marTop w:val="0"/>
      <w:marBottom w:val="0"/>
      <w:divBdr>
        <w:top w:val="none" w:sz="0" w:space="0" w:color="auto"/>
        <w:left w:val="none" w:sz="0" w:space="0" w:color="auto"/>
        <w:bottom w:val="none" w:sz="0" w:space="0" w:color="auto"/>
        <w:right w:val="none" w:sz="0" w:space="0" w:color="auto"/>
      </w:divBdr>
    </w:div>
    <w:div w:id="1619097553">
      <w:bodyDiv w:val="1"/>
      <w:marLeft w:val="0"/>
      <w:marRight w:val="0"/>
      <w:marTop w:val="0"/>
      <w:marBottom w:val="0"/>
      <w:divBdr>
        <w:top w:val="none" w:sz="0" w:space="0" w:color="auto"/>
        <w:left w:val="none" w:sz="0" w:space="0" w:color="auto"/>
        <w:bottom w:val="none" w:sz="0" w:space="0" w:color="auto"/>
        <w:right w:val="none" w:sz="0" w:space="0" w:color="auto"/>
      </w:divBdr>
    </w:div>
    <w:div w:id="1696537880">
      <w:bodyDiv w:val="1"/>
      <w:marLeft w:val="0"/>
      <w:marRight w:val="0"/>
      <w:marTop w:val="0"/>
      <w:marBottom w:val="0"/>
      <w:divBdr>
        <w:top w:val="none" w:sz="0" w:space="0" w:color="auto"/>
        <w:left w:val="none" w:sz="0" w:space="0" w:color="auto"/>
        <w:bottom w:val="none" w:sz="0" w:space="0" w:color="auto"/>
        <w:right w:val="none" w:sz="0" w:space="0" w:color="auto"/>
      </w:divBdr>
    </w:div>
    <w:div w:id="17436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treese.denson@noaa.gov" TargetMode="External"/><Relationship Id="rId13" Type="http://schemas.openxmlformats.org/officeDocument/2006/relationships/hyperlink" Target="https://gulfcouncil.org/wp-content/uploads/Mississippi-State-Management-5-23-2019_FINAL.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ulfcouncil.org/wp-content/uploads/Louisiana-State-Management-5-23-2019_FINAL.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ulfcouncil.org/wp-content/uploads/Texas-State-Management-5-23-2019_FINA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ulfcouncil.org/wp-content/uploads/State-Management-Program-for-Red-Snapper-Final-5-23-2019.pdf" TargetMode="External"/><Relationship Id="rId5" Type="http://schemas.openxmlformats.org/officeDocument/2006/relationships/webSettings" Target="webSettings.xml"/><Relationship Id="rId15" Type="http://schemas.openxmlformats.org/officeDocument/2006/relationships/hyperlink" Target="https://gulfcouncil.org/wp-content/uploads/Florida-State-Management-5-23-2019_FINAL.pdf" TargetMode="External"/><Relationship Id="rId10" Type="http://schemas.openxmlformats.org/officeDocument/2006/relationships/hyperlink" Target="http://www.gulfcouncil.org/docs/amendments/RF%2040%20-%20Final%2012-17-2014.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fisheries.noaa.gov/southeast/state-recreational-red-snapper-management-exempted-fishing-permits" TargetMode="External"/><Relationship Id="rId14" Type="http://schemas.openxmlformats.org/officeDocument/2006/relationships/hyperlink" Target="https://gulfcouncil.org/wp-content/uploads/Alabama-State-Management-5-23-2019_FIN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4E57C-3022-464F-937E-19DAE86A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3968</Words>
  <Characters>22622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2022-07-28T20:19:00Z</dcterms:created>
  <dcterms:modified xsi:type="dcterms:W3CDTF">2022-07-28T20:19:00Z</dcterms:modified>
</cp:coreProperties>
</file>