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Knowledge Bot Widget Integration Guide</w:t>
      </w:r>
    </w:p>
    <w:p>
      <w:pPr>
        <w:pStyle w:val="Heading1"/>
      </w:pPr>
      <w:r>
        <w:t>Overview</w:t>
      </w:r>
    </w:p>
    <w:p>
      <w:r>
        <w:rPr>
          <w:sz w:val="22"/>
        </w:rPr>
        <w:t>Embed a glassmorphism chat widget on any website. It preserves token handling, session management, markdown rendering, DOM sanitization, and streaming.</w:t>
      </w:r>
    </w:p>
    <w:p>
      <w:pPr>
        <w:pStyle w:val="Heading1"/>
      </w:pPr>
      <w:r>
        <w:t>Prerequisites</w:t>
      </w:r>
    </w:p>
    <w:p>
      <w:r>
        <w:rPr>
          <w:rFonts w:ascii="Courier New" w:hAnsi="Courier New"/>
          <w:sz w:val="22"/>
        </w:rPr>
        <w:t>- Token from CMS → Bot Management → copy the bot’s widget token</w:t>
        <w:br/>
        <w:t>- Optional: DOMPurify for sanitization</w:t>
        <w:br/>
        <w:t>- Recommended meta for mobile: &lt;meta name="viewport" content="width=device-width, initial-scale=1, viewport-fit=cover"&gt;</w:t>
      </w:r>
    </w:p>
    <w:p>
      <w:pPr>
        <w:pStyle w:val="Heading1"/>
      </w:pPr>
      <w:r>
        <w:t>Production embed</w:t>
      </w:r>
    </w:p>
    <w:p>
      <w:r>
        <w:rPr>
          <w:rFonts w:ascii="Courier New" w:hAnsi="Courier New"/>
          <w:sz w:val="22"/>
        </w:rPr>
        <w:t>&lt;meta name="viewport" content="width=device-width, initial-scale=1, viewport-fit=cover" /&gt;</w:t>
        <w:br/>
        <w:t>&lt;script src="https://cdn.jsdelivr.net/npm/dompurify@3.0.2/dist/purify.min.js" defer&gt;&lt;/script&gt;</w:t>
        <w:br/>
        <w:t>&lt;script</w:t>
        <w:br/>
        <w:t xml:space="preserve">  src="https://knowledge-bot-retrieval.onrender.com/static/widget.js"</w:t>
        <w:br/>
        <w:t xml:space="preserve">  data-token="YOUR_WIDGET_TOKEN_HERE"</w:t>
        <w:br/>
        <w:t xml:space="preserve">  data-bubble-title="Ask ClearlyClear"</w:t>
        <w:br/>
        <w:t xml:space="preserve">  data-search-title="ClearlyClear Concierge"</w:t>
        <w:br/>
        <w:t xml:space="preserve">  data-show-logo="false"</w:t>
        <w:br/>
        <w:t xml:space="preserve">  defer</w:t>
        <w:br/>
        <w:t>&gt;&lt;/script&gt;</w:t>
      </w:r>
    </w:p>
    <w:p>
      <w:pPr>
        <w:pStyle w:val="Heading1"/>
      </w:pPr>
      <w:r>
        <w:t>Local development</w:t>
      </w:r>
    </w:p>
    <w:p>
      <w:r>
        <w:rPr>
          <w:rFonts w:ascii="Courier New" w:hAnsi="Courier New"/>
          <w:sz w:val="22"/>
        </w:rPr>
        <w:t>&lt;script</w:t>
        <w:br/>
        <w:t xml:space="preserve">  src="http://localhost:8000/static/widget.js"</w:t>
        <w:br/>
        <w:t xml:space="preserve">  data-token="YOUR_LOCAL_TEST_TOKEN"</w:t>
        <w:br/>
        <w:t xml:space="preserve">  data-bubble-title="Chat"</w:t>
        <w:br/>
        <w:t xml:space="preserve">  data-search-title="Assistant"</w:t>
        <w:br/>
        <w:t xml:space="preserve">  data-show-logo="false"</w:t>
        <w:br/>
        <w:t xml:space="preserve">  defer</w:t>
        <w:br/>
        <w:t>&gt;&lt;/script&gt;</w:t>
      </w:r>
    </w:p>
    <w:p>
      <w:pPr>
        <w:pStyle w:val="Heading2"/>
      </w:pPr>
      <w:r>
        <w:t>Notes</w:t>
      </w:r>
    </w:p>
    <w:p>
      <w:r>
        <w:rPr>
          <w:sz w:val="22"/>
        </w:rPr>
        <w:t>- Auto-detects localhost/127.0.0.1 for API calls; otherwise production.</w:t>
        <w:br/>
        <w:t>- Adjust the script URL if you use a different local port.</w:t>
      </w:r>
    </w:p>
    <w:p>
      <w:pPr>
        <w:pStyle w:val="Heading1"/>
      </w:pPr>
      <w:r>
        <w:t>Attributes</w:t>
      </w:r>
    </w:p>
    <w:p>
      <w:r>
        <w:rPr>
          <w:sz w:val="22"/>
        </w:rPr>
        <w:t>- data-token (required): your bot’s widget token</w:t>
        <w:br/>
        <w:t>- data-bubble-title (optional): text in bubble; if omitted, an icon is shown</w:t>
        <w:br/>
        <w:t>- data-search-title (optional): header title; blank if omitted</w:t>
        <w:br/>
        <w:t>- data-show-logo (optional): "true" to show logo; hidden by default</w:t>
      </w:r>
    </w:p>
    <w:p>
      <w:pPr>
        <w:pStyle w:val="Heading1"/>
      </w:pPr>
      <w:r>
        <w:t>Behavior</w:t>
      </w:r>
    </w:p>
    <w:p>
      <w:r>
        <w:rPr>
          <w:sz w:val="22"/>
        </w:rPr>
        <w:t>- Bottom-right bubble; panel grows upward only; capped to screen height (vh/dvh)</w:t>
        <w:br/>
        <w:t>- Enter to send; or click Send</w:t>
        <w:br/>
        <w:t>- Streams responses via SSE/JSON; control frames filtered</w:t>
        <w:br/>
        <w:t>- Markdown rendered; sources in a collapsible ‘Show Sources’ section</w:t>
        <w:br/>
        <w:t>- If DOMPurify present, all rendered content sanitized</w:t>
      </w:r>
    </w:p>
    <w:p>
      <w:pPr>
        <w:pStyle w:val="Heading1"/>
      </w:pPr>
      <w:r>
        <w:t>Styling and isolation</w:t>
      </w:r>
    </w:p>
    <w:p>
      <w:r>
        <w:rPr>
          <w:sz w:val="22"/>
        </w:rPr>
        <w:t>- Scoped .kb-* styles</w:t>
        <w:br/>
        <w:t>- Ensure global resets don’t override widget inputs/buttons</w:t>
      </w:r>
    </w:p>
    <w:p>
      <w:pPr>
        <w:pStyle w:val="Heading1"/>
      </w:pPr>
      <w:r>
        <w:t>Mobile specifics</w:t>
      </w:r>
    </w:p>
    <w:p>
      <w:r>
        <w:rPr>
          <w:sz w:val="22"/>
        </w:rPr>
        <w:t>- viewport-fit=cover and dvh when supported</w:t>
        <w:br/>
        <w:t>- Input font-size 16px on small screens to avoid iOS zoom</w:t>
        <w:br/>
        <w:t>- Header/close always accessible; content area scrolls</w:t>
      </w:r>
    </w:p>
    <w:p>
      <w:pPr>
        <w:pStyle w:val="Heading1"/>
      </w:pPr>
      <w:r>
        <w:t>Token source</w:t>
      </w:r>
    </w:p>
    <w:p>
      <w:r>
        <w:rPr>
          <w:sz w:val="22"/>
        </w:rPr>
        <w:t>- CMS → Bot Management → select bot → copy token → set data-token</w:t>
        <w:br/>
        <w:t>- Rotating tokens: update the attribute only</w:t>
      </w:r>
    </w:p>
    <w:p>
      <w:pPr>
        <w:pStyle w:val="Heading1"/>
      </w:pPr>
      <w:r>
        <w:t>Troubleshooting</w:t>
      </w:r>
    </w:p>
    <w:p>
      <w:r>
        <w:rPr>
          <w:sz w:val="22"/>
        </w:rPr>
        <w:t>- White-on-white text: ensure site CSS doesn’t force colors on .kb-*</w:t>
        <w:br/>
        <w:t>- CORS: allow your site’s origin on the backend</w:t>
        <w:br/>
        <w:t>- Local connection: server must run at http://localhost:8000</w:t>
      </w:r>
    </w:p>
    <w:p>
      <w:pPr>
        <w:pStyle w:val="Heading1"/>
      </w:pPr>
      <w:r>
        <w:t>Security</w:t>
      </w:r>
    </w:p>
    <w:p>
      <w:r>
        <w:rPr>
          <w:sz w:val="22"/>
        </w:rPr>
        <w:t>- Multi-tenant isolation enforced server-side</w:t>
        <w:br/>
        <w:t>- Client sanitization via DOMPurify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