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48"/>
          <w:szCs w:val="48"/>
        </w:rPr>
        <w:t xml:space="preserve">Rapport d'Analyse des Modèles de Trading</w:t>
      </w:r>
    </w:p>
    <w:p>
      <w:pPr>
        <w:spacing w:after="120" w:before="0"/>
        <w:jc w:val="center"/>
      </w:pPr>
      <w:r>
        <w:rPr>
          <w:rFonts w:ascii="Arial" w:cs="Arial" w:eastAsia="Arial" w:hAnsi="Arial"/>
          <w:i/>
          <w:iCs/>
          <w:color w:val="595959"/>
          <w:sz w:val="24"/>
          <w:szCs w:val="24"/>
        </w:rPr>
        <w:t xml:space="preserve">PatchTST · LSTM Attention · TFT Lite · CNN Transformer · Ensemble</w:t>
      </w:r>
    </w:p>
    <w:p>
      <w:pPr>
        <w:spacing w:after="480" w:before="0"/>
        <w:jc w:val="center"/>
      </w:pPr>
      <w:r>
        <w:rPr>
          <w:rFonts w:ascii="Arial" w:cs="Arial" w:eastAsia="Arial" w:hAnsi="Arial"/>
          <w:color w:val="595959"/>
          <w:sz w:val="22"/>
          <w:szCs w:val="22"/>
        </w:rPr>
        <w:t xml:space="preserve">Avril 2026 — Données : BTCUSDT · ETHUSDT · BNBUSDT · SOLUSDT</w:t>
      </w:r>
    </w:p>
    <w:p>
      <w:pPr>
        <w:pStyle w:val="Heading1"/>
        <w:pBdr>
          <w:bottom w:val="single" w:color="2E75B6" w:sz="6" w:space="1"/>
        </w:pBdr>
        <w:spacing w:after="240" w:before="360"/>
      </w:pPr>
      <w:r>
        <w:rPr>
          <w:rFonts w:ascii="Arial" w:cs="Arial" w:eastAsia="Arial" w:hAnsi="Arial"/>
          <w:b/>
          <w:bCs/>
          <w:color w:val="1F4E79"/>
          <w:sz w:val="36"/>
          <w:szCs w:val="36"/>
        </w:rPr>
        <w:t xml:space="preserve">1. Contexte et données</w:t>
      </w:r>
    </w:p>
    <w:p>
      <w:pPr>
        <w:spacing w:after="120" w:before="120"/>
        <w:jc w:val="left"/>
      </w:pPr>
      <w:r>
        <w:rPr>
          <w:rFonts w:ascii="Arial" w:cs="Arial" w:eastAsia="Arial" w:hAnsi="Arial"/>
          <w:b w:val="false"/>
          <w:bCs w:val="false"/>
          <w:i w:val="false"/>
          <w:iCs w:val="false"/>
          <w:color w:val="000000"/>
          <w:sz w:val="22"/>
          <w:szCs w:val="22"/>
        </w:rPr>
        <w:t xml:space="preserve">Ce rapport présente les résultats de l'entraînement et de l'évaluation de quatre architectures de deep learning pour la prédiction de signaux de trading sur données crypto horaires. Les modèles classifient chaque période en trois classes : Sell (0), Hold (1), Buy (2).</w:t>
      </w:r>
    </w:p>
    <w:p>
      <w:pPr>
        <w:pStyle w:val="Heading3"/>
        <w:spacing w:after="120" w:before="200"/>
      </w:pPr>
      <w:r>
        <w:rPr>
          <w:rFonts w:ascii="Arial" w:cs="Arial" w:eastAsia="Arial" w:hAnsi="Arial"/>
          <w:b/>
          <w:bCs/>
          <w:color w:val="595959"/>
          <w:sz w:val="24"/>
          <w:szCs w:val="24"/>
        </w:rPr>
        <w:t xml:space="preserve">Données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Paramètre</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Valeur</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Actifs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BTCUSDT, ETHUSDT, BNBUSDT, SOLUSDT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Intervalle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1 heure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Période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14 oct. 2025 → 12 avr. 2026 (180 jours)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Samples totaux</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17 280 lignes × 30 colonnes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Split</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Train 70% (12 096) · Val 15% (2 592) · Test 15% (2 592)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Features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20 features (returns, SMA, EMA, RSI, vol, z-score, calendar, sentiment)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Horizon cible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12 pas (12 heures), seuils ±0.8%</w:t>
            </w:r>
          </w:p>
        </w:tc>
      </w:tr>
    </w:tbl>
    <w:p>
      <w:pPr>
        <w:spacing w:after="120" w:before="120"/>
        <w:jc w:val="left"/>
      </w:pPr>
      <w:r>
        <w:rPr>
          <w:rFonts w:ascii="Arial" w:cs="Arial" w:eastAsia="Arial" w:hAnsi="Arial"/>
          <w:b w:val="false"/>
          <w:bCs w:val="false"/>
          <w:i w:val="false"/>
          <w:iCs w:val="false"/>
          <w:color w:val="000000"/>
          <w:sz w:val="22"/>
          <w:szCs w:val="22"/>
        </w:rPr>
        <w:t xml:space="preserve"/>
      </w:r>
    </w:p>
    <w:p>
      <w:pPr>
        <w:pStyle w:val="Heading3"/>
        <w:spacing w:after="120" w:before="200"/>
      </w:pPr>
      <w:r>
        <w:rPr>
          <w:rFonts w:ascii="Arial" w:cs="Arial" w:eastAsia="Arial" w:hAnsi="Arial"/>
          <w:b/>
          <w:bCs/>
          <w:color w:val="595959"/>
          <w:sz w:val="24"/>
          <w:szCs w:val="24"/>
        </w:rPr>
        <w:t xml:space="preserve">Distribution des classes (test set — 2 495 samples)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spacing w:after="0" w:before="0"/>
              <w:jc w:val="center"/>
            </w:pPr>
            <w:r>
              <w:rPr>
                <w:rFonts w:ascii="Arial" w:cs="Arial" w:eastAsia="Arial" w:hAnsi="Arial"/>
                <w:b/>
                <w:bCs/>
                <w:color w:val="000000"/>
                <w:sz w:val="20"/>
                <w:szCs w:val="20"/>
              </w:rPr>
              <w:t xml:space="preserve">Sell</w:t>
            </w:r>
          </w:p>
        </w:tc>
        <w:tc>
          <w:tcPr>
            <w:tcW w:type="dxa" w:w="312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before="0"/>
              <w:jc w:val="center"/>
            </w:pPr>
            <w:r>
              <w:rPr>
                <w:rFonts w:ascii="Arial" w:cs="Arial" w:eastAsia="Arial" w:hAnsi="Arial"/>
                <w:b/>
                <w:bCs/>
                <w:color w:val="000000"/>
                <w:sz w:val="20"/>
                <w:szCs w:val="20"/>
              </w:rPr>
              <w:t xml:space="preserve">Hold</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Arial" w:cs="Arial" w:eastAsia="Arial" w:hAnsi="Arial"/>
                <w:b/>
                <w:bCs/>
                <w:color w:val="000000"/>
                <w:sz w:val="20"/>
                <w:szCs w:val="20"/>
              </w:rPr>
              <w:t xml:space="preserve">Buy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946 (37.9%)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735 (29.5%)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814 (32.6%)</w:t>
            </w:r>
          </w:p>
        </w:tc>
      </w:tr>
    </w:tbl>
    <w:p>
      <w:pPr>
        <w:spacing w:after="120" w:before="120"/>
        <w:jc w:val="left"/>
      </w:pPr>
      <w:r>
        <w:rPr>
          <w:rFonts w:ascii="Arial" w:cs="Arial" w:eastAsia="Arial" w:hAnsi="Arial"/>
          <w:b w:val="false"/>
          <w:bCs w:val="false"/>
          <w:i w:val="false"/>
          <w:iCs w:val="false"/>
          <w:color w:val="000000"/>
          <w:sz w:val="22"/>
          <w:szCs w:val="22"/>
        </w:rPr>
        <w:t xml:space="preserve"/>
      </w:r>
    </w:p>
    <w:p>
      <w:pPr>
        <w:pStyle w:val="Heading1"/>
        <w:pBdr>
          <w:bottom w:val="single" w:color="2E75B6" w:sz="6" w:space="1"/>
        </w:pBdr>
        <w:spacing w:after="240" w:before="360"/>
      </w:pPr>
      <w:r>
        <w:rPr>
          <w:rFonts w:ascii="Arial" w:cs="Arial" w:eastAsia="Arial" w:hAnsi="Arial"/>
          <w:b/>
          <w:bCs/>
          <w:color w:val="1F4E79"/>
          <w:sz w:val="36"/>
          <w:szCs w:val="36"/>
        </w:rPr>
        <w:t xml:space="preserve">2. Architectures des modèles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1800"/>
        <w:gridCol w:w="18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Modèle</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Architecture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Paramètres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GPU (relative)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PatchTST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Transformer par patches temporels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116 163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Rapide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LSTM Attention</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LSTM bidirectionnel + self-attention multi-têtes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1 354 883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Lent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TFT Lite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Variable selection + LSTM + attention interprétable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152 295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Moyen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CNN Transformer</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CNN multi-échelles (kernels 3,7,15) + Transformer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195 331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Moyen</w:t>
            </w:r>
          </w:p>
        </w:tc>
      </w:tr>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Ensemble</w:t>
            </w:r>
          </w:p>
        </w:tc>
        <w:tc>
          <w:tcPr>
            <w:tcW w:type="dxa" w:w="3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Vote moyen des probabilités des 4 modèles</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w:t>
            </w:r>
          </w:p>
        </w:tc>
      </w:tr>
    </w:tbl>
    <w:p>
      <w:pPr>
        <w:spacing w:after="120" w:before="120"/>
        <w:jc w:val="left"/>
      </w:pPr>
      <w:r>
        <w:rPr>
          <w:rFonts w:ascii="Arial" w:cs="Arial" w:eastAsia="Arial" w:hAnsi="Arial"/>
          <w:b w:val="false"/>
          <w:bCs w:val="false"/>
          <w:i w:val="false"/>
          <w:iCs w:val="false"/>
          <w:color w:val="000000"/>
          <w:sz w:val="22"/>
          <w:szCs w:val="22"/>
        </w:rPr>
        <w:t xml:space="preserve"/>
      </w:r>
    </w:p>
    <w:p>
      <w:pPr>
        <w:pStyle w:val="Heading1"/>
        <w:pBdr>
          <w:bottom w:val="single" w:color="2E75B6" w:sz="6" w:space="1"/>
        </w:pBdr>
        <w:spacing w:after="240" w:before="360"/>
      </w:pPr>
      <w:r>
        <w:rPr>
          <w:rFonts w:ascii="Arial" w:cs="Arial" w:eastAsia="Arial" w:hAnsi="Arial"/>
          <w:b/>
          <w:bCs/>
          <w:color w:val="1F4E79"/>
          <w:sz w:val="36"/>
          <w:szCs w:val="36"/>
        </w:rPr>
        <w:t xml:space="preserve">3. Résultats de classification (test set)</w:t>
      </w:r>
    </w:p>
    <w:p>
      <w:pPr>
        <w:pStyle w:val="Heading2"/>
        <w:spacing w:after="160" w:before="280"/>
      </w:pPr>
      <w:r>
        <w:rPr>
          <w:rFonts w:ascii="Arial" w:cs="Arial" w:eastAsia="Arial" w:hAnsi="Arial"/>
          <w:b/>
          <w:bCs/>
          <w:color w:val="1F4E79"/>
          <w:sz w:val="28"/>
          <w:szCs w:val="28"/>
        </w:rPr>
        <w:t xml:space="preserve">3.1 Tableau comparatif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Modèle</w:t>
            </w:r>
          </w:p>
        </w:tc>
        <w:tc>
          <w:tcPr>
            <w:tcW w:type="dxa" w:w="2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Test Accuracy</w:t>
            </w:r>
          </w:p>
        </w:tc>
        <w:tc>
          <w:tcPr>
            <w:tcW w:type="dxa" w:w="2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F1-Macro</w:t>
            </w:r>
          </w:p>
        </w:tc>
        <w:tc>
          <w:tcPr>
            <w:tcW w:type="dxa" w:w="2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AUC-OVR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Ensemble vote</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63.81%</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0.6148</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0.8077</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LSTM Attention</w:t>
            </w:r>
          </w:p>
        </w:tc>
        <w:tc>
          <w:tcPr>
            <w:tcW w:type="dxa" w:w="2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61.24%</w:t>
            </w:r>
          </w:p>
        </w:tc>
        <w:tc>
          <w:tcPr>
            <w:tcW w:type="dxa" w:w="2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0.6035</w:t>
            </w:r>
          </w:p>
        </w:tc>
        <w:tc>
          <w:tcPr>
            <w:tcW w:type="dxa" w:w="2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0.7800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CNN Transformer</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60.48%</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0.5931</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0.7746</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PatchTST</w:t>
            </w:r>
          </w:p>
        </w:tc>
        <w:tc>
          <w:tcPr>
            <w:tcW w:type="dxa" w:w="2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57.47%</w:t>
            </w:r>
          </w:p>
        </w:tc>
        <w:tc>
          <w:tcPr>
            <w:tcW w:type="dxa" w:w="2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0.5347</w:t>
            </w:r>
          </w:p>
        </w:tc>
        <w:tc>
          <w:tcPr>
            <w:tcW w:type="dxa" w:w="2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0.7464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TFT Lite</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44.81%</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0.4012</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0.6202</w:t>
            </w:r>
          </w:p>
        </w:tc>
      </w:tr>
    </w:tbl>
    <w:p>
      <w:pPr>
        <w:spacing w:after="120" w:before="120"/>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2"/>
                <w:szCs w:val="22"/>
              </w:rPr>
              <w:t xml:space="preserve">TOP</w:t>
            </w:r>
          </w:p>
        </w:tc>
        <w:tc>
          <w:tcPr>
            <w:tcW w:type="dxa" w:w="8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3D0A"/>
                <w:sz w:val="20"/>
                <w:szCs w:val="20"/>
              </w:rPr>
              <w:t xml:space="preserve">L'ensemble vote moyen surpasse tous les modèles individuels : +2.6% accuracy et +1.1 pts F1 vs le meilleur modèle seul (LSTM). La combinaison réduit la variance d'erreur.</w:t>
            </w:r>
          </w:p>
        </w:tc>
      </w:tr>
    </w:tbl>
    <w:p>
      <w:pPr>
        <w:spacing w:after="120" w:before="120"/>
        <w:jc w:val="left"/>
      </w:pPr>
      <w:r>
        <w:rPr>
          <w:rFonts w:ascii="Arial" w:cs="Arial" w:eastAsia="Arial" w:hAnsi="Arial"/>
          <w:b w:val="false"/>
          <w:bCs w:val="false"/>
          <w:i w:val="false"/>
          <w:iCs w:val="false"/>
          <w:color w:val="000000"/>
          <w:sz w:val="22"/>
          <w:szCs w:val="22"/>
        </w:rPr>
        <w:t xml:space="preserve"/>
      </w:r>
    </w:p>
    <w:p>
      <w:pPr>
        <w:pStyle w:val="Heading2"/>
        <w:spacing w:after="160" w:before="280"/>
      </w:pPr>
      <w:r>
        <w:rPr>
          <w:rFonts w:ascii="Arial" w:cs="Arial" w:eastAsia="Arial" w:hAnsi="Arial"/>
          <w:b/>
          <w:bCs/>
          <w:color w:val="1F4E79"/>
          <w:sz w:val="28"/>
          <w:szCs w:val="28"/>
        </w:rPr>
        <w:t xml:space="preserve">3.2 Rapport de classification par classe</w:t>
      </w:r>
    </w:p>
    <w:p>
      <w:pPr>
        <w:spacing w:after="120" w:before="120"/>
        <w:jc w:val="left"/>
      </w:pPr>
      <w:r>
        <w:rPr>
          <w:rFonts w:ascii="Arial" w:cs="Arial" w:eastAsia="Arial" w:hAnsi="Arial"/>
          <w:b w:val="false"/>
          <w:bCs w:val="false"/>
          <w:i w:val="false"/>
          <w:iCs w:val="false"/>
          <w:color w:val="000000"/>
          <w:sz w:val="22"/>
          <w:szCs w:val="22"/>
        </w:rPr>
        <w:t xml:space="preserve">La classe Hold est systématiquement la plus difficile à prédire, quel que soit le modèle.</w:t>
      </w:r>
    </w:p>
    <w:p>
      <w:pPr>
        <w:spacing w:after="120" w:before="120"/>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Ensemble (meilleur global)</w:t>
            </w:r>
          </w:p>
        </w:tc>
        <w:tc>
          <w:tcPr>
            <w:tcW w:type="dxa" w:w="175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Precision</w:t>
            </w:r>
          </w:p>
        </w:tc>
        <w:tc>
          <w:tcPr>
            <w:tcW w:type="dxa" w:w="175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Recall</w:t>
            </w:r>
          </w:p>
        </w:tc>
        <w:tc>
          <w:tcPr>
            <w:tcW w:type="dxa" w:w="175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F1-score</w:t>
            </w:r>
          </w:p>
        </w:tc>
        <w:tc>
          <w:tcPr>
            <w:tcW w:type="dxa" w:w="175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Support</w:t>
            </w:r>
          </w:p>
        </w:tc>
      </w:tr>
      <w:tr>
        <w:tc>
          <w:tcPr>
            <w:tcW w:type="dxa" w:w="234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Sell (0)</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0.64</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0.79</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0.71</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946</w:t>
            </w:r>
          </w:p>
        </w:tc>
      </w:tr>
      <w:tr>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Hold (1)</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0.60</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0.38</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0.46</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735</w:t>
            </w:r>
          </w:p>
        </w:tc>
      </w:tr>
      <w:tr>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Buy  (2)</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0.65</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0.69</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0.67</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814</w:t>
            </w:r>
          </w:p>
        </w:tc>
      </w:tr>
    </w:tbl>
    <w:p>
      <w:pPr>
        <w:spacing w:after="120" w:before="120"/>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LSTM Attention</w:t>
            </w:r>
          </w:p>
        </w:tc>
        <w:tc>
          <w:tcPr>
            <w:tcW w:type="dxa" w:w="175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Precision</w:t>
            </w:r>
          </w:p>
        </w:tc>
        <w:tc>
          <w:tcPr>
            <w:tcW w:type="dxa" w:w="175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Recall</w:t>
            </w:r>
          </w:p>
        </w:tc>
        <w:tc>
          <w:tcPr>
            <w:tcW w:type="dxa" w:w="175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F1-score</w:t>
            </w:r>
          </w:p>
        </w:tc>
        <w:tc>
          <w:tcPr>
            <w:tcW w:type="dxa" w:w="175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Support</w:t>
            </w:r>
          </w:p>
        </w:tc>
      </w:tr>
      <w:tr>
        <w:tc>
          <w:tcPr>
            <w:tcW w:type="dxa" w:w="234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Sell (0)</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0.64</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0.71</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0.68</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946</w:t>
            </w:r>
          </w:p>
        </w:tc>
      </w:tr>
      <w:tr>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Hold (1)</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0.50</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0.48</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0.49</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735</w:t>
            </w:r>
          </w:p>
        </w:tc>
      </w:tr>
      <w:tr>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Buy  (2)</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0.68</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0.61</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0.64</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814</w:t>
            </w:r>
          </w:p>
        </w:tc>
      </w:tr>
    </w:tbl>
    <w:p>
      <w:pPr>
        <w:spacing w:after="120" w:before="120"/>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CNN Transformer</w:t>
            </w:r>
          </w:p>
        </w:tc>
        <w:tc>
          <w:tcPr>
            <w:tcW w:type="dxa" w:w="175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Precision</w:t>
            </w:r>
          </w:p>
        </w:tc>
        <w:tc>
          <w:tcPr>
            <w:tcW w:type="dxa" w:w="175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Recall</w:t>
            </w:r>
          </w:p>
        </w:tc>
        <w:tc>
          <w:tcPr>
            <w:tcW w:type="dxa" w:w="175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F1-score</w:t>
            </w:r>
          </w:p>
        </w:tc>
        <w:tc>
          <w:tcPr>
            <w:tcW w:type="dxa" w:w="175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Support</w:t>
            </w:r>
          </w:p>
        </w:tc>
      </w:tr>
      <w:tr>
        <w:tc>
          <w:tcPr>
            <w:tcW w:type="dxa" w:w="234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Sell (0)</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0.68</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0.66</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0.67</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946</w:t>
            </w:r>
          </w:p>
        </w:tc>
      </w:tr>
      <w:tr>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Hold (1)</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0.54</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0.43</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0.48</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735</w:t>
            </w:r>
          </w:p>
        </w:tc>
      </w:tr>
      <w:tr>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Buy  (2)</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0.57</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0.69</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0.63</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814</w:t>
            </w:r>
          </w:p>
        </w:tc>
      </w:tr>
    </w:tbl>
    <w:p>
      <w:pPr>
        <w:spacing w:after="120" w:before="120"/>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TFT Lite (sous-performant)</w:t>
            </w:r>
          </w:p>
        </w:tc>
        <w:tc>
          <w:tcPr>
            <w:tcW w:type="dxa" w:w="175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Precision</w:t>
            </w:r>
          </w:p>
        </w:tc>
        <w:tc>
          <w:tcPr>
            <w:tcW w:type="dxa" w:w="175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Recall</w:t>
            </w:r>
          </w:p>
        </w:tc>
        <w:tc>
          <w:tcPr>
            <w:tcW w:type="dxa" w:w="175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F1-score</w:t>
            </w:r>
          </w:p>
        </w:tc>
        <w:tc>
          <w:tcPr>
            <w:tcW w:type="dxa" w:w="175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Support</w:t>
            </w:r>
          </w:p>
        </w:tc>
      </w:tr>
      <w:tr>
        <w:tc>
          <w:tcPr>
            <w:tcW w:type="dxa" w:w="234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Sell (0)</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0.46</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0.70</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0.55</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946</w:t>
            </w:r>
          </w:p>
        </w:tc>
      </w:tr>
      <w:tr>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Hold (1)</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0.38</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0.14</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0.21</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735</w:t>
            </w:r>
          </w:p>
        </w:tc>
      </w:tr>
      <w:tr>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Buy  (2)</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0.45</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0.44</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0.44</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814</w:t>
            </w:r>
          </w:p>
        </w:tc>
      </w:tr>
    </w:tbl>
    <w:p>
      <w:pPr>
        <w:spacing w:after="120" w:before="120"/>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2"/>
                <w:szCs w:val="22"/>
              </w:rPr>
              <w:t xml:space="preserve">HOLD</w:t>
            </w:r>
          </w:p>
        </w:tc>
        <w:tc>
          <w:tcPr>
            <w:tcW w:type="dxa" w:w="8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C3D00"/>
                <w:sz w:val="20"/>
                <w:szCs w:val="20"/>
              </w:rPr>
              <w:t xml:space="preserve">La classe Hold obtient un F1 entre 0.21 (TFT) et 0.49 (LSTM). Causes probables : (1) signal ambiguë par nature, (2) classe sous-représentée dans les phases d'entraînement actives, (3) features insuffisantes pour distinguer une consolidation. Recommandation : augmenter le poids de la classe Hold dans la loss ou augmenter le seuil de confiance pour n'émettre des signaux Hold qu'avec une probabilité &gt; 0.55.</w:t>
            </w:r>
          </w:p>
        </w:tc>
      </w:tr>
    </w:tbl>
    <w:p>
      <w:pPr>
        <w:spacing w:after="120" w:before="120"/>
        <w:jc w:val="left"/>
      </w:pPr>
      <w:r>
        <w:rPr>
          <w:rFonts w:ascii="Arial" w:cs="Arial" w:eastAsia="Arial" w:hAnsi="Arial"/>
          <w:b w:val="false"/>
          <w:bCs w:val="false"/>
          <w:i w:val="false"/>
          <w:iCs w:val="false"/>
          <w:color w:val="000000"/>
          <w:sz w:val="22"/>
          <w:szCs w:val="22"/>
        </w:rPr>
        <w:t xml:space="preserve"/>
      </w:r>
    </w:p>
    <w:p>
      <w:pPr>
        <w:pStyle w:val="Heading1"/>
        <w:pBdr>
          <w:bottom w:val="single" w:color="2E75B6" w:sz="6" w:space="1"/>
        </w:pBdr>
        <w:spacing w:after="240" w:before="360"/>
      </w:pPr>
      <w:r>
        <w:rPr>
          <w:rFonts w:ascii="Arial" w:cs="Arial" w:eastAsia="Arial" w:hAnsi="Arial"/>
          <w:b/>
          <w:bCs/>
          <w:color w:val="1F4E79"/>
          <w:sz w:val="36"/>
          <w:szCs w:val="36"/>
        </w:rPr>
        <w:t xml:space="preserve">4. Résultats de backtest (corrigés)</w:t>
      </w:r>
    </w:p>
    <w:p>
      <w:pPr>
        <w:spacing w:after="120" w:before="120"/>
        <w:jc w:val="left"/>
      </w:pPr>
      <w:r>
        <w:rPr>
          <w:rFonts w:ascii="Arial" w:cs="Arial" w:eastAsia="Arial" w:hAnsi="Arial"/>
          <w:b w:val="false"/>
          <w:bCs w:val="false"/>
          <w:i w:val="false"/>
          <w:iCs w:val="false"/>
          <w:color w:val="000000"/>
          <w:sz w:val="22"/>
          <w:szCs w:val="22"/>
        </w:rPr>
        <w:t xml:space="preserve">Le backtest initial présentait des retours irréalistes (ex. +3 499 000 000 000%) dus à un effet de capitalisation exponentiel non contrôlé. La version corrigée utilise un capital fixe avec sommation linéaire des retours par période.</w:t>
      </w:r>
    </w:p>
    <w:p>
      <w:pPr>
        <w:pStyle w:val="Heading2"/>
        <w:spacing w:after="160" w:before="280"/>
      </w:pPr>
      <w:r>
        <w:rPr>
          <w:rFonts w:ascii="Arial" w:cs="Arial" w:eastAsia="Arial" w:hAnsi="Arial"/>
          <w:b/>
          <w:bCs/>
          <w:color w:val="1F4E79"/>
          <w:sz w:val="28"/>
          <w:szCs w:val="28"/>
        </w:rPr>
        <w:t xml:space="preserve">4.1 Méthodologie corrigée</w:t>
      </w:r>
    </w:p>
    <w:p>
      <w:pPr>
        <w:pStyle w:val="ListParagraph"/>
        <w:numPr>
          <w:ilvl w:val="0"/>
          <w:numId w:val="2"/>
        </w:numPr>
        <w:spacing w:after="60" w:before="60"/>
      </w:pPr>
      <w:r>
        <w:rPr>
          <w:rFonts w:ascii="Arial" w:cs="Arial" w:eastAsia="Arial" w:hAnsi="Arial"/>
          <w:color w:val="000000"/>
          <w:sz w:val="22"/>
          <w:szCs w:val="22"/>
        </w:rPr>
        <w:t xml:space="preserve">Capital fixe : equity(t) = 1 + Σ stratégie_ret(i) — pas de re-compounding multiplicatif</w:t>
      </w:r>
    </w:p>
    <w:p>
      <w:pPr>
        <w:pStyle w:val="ListParagraph"/>
        <w:numPr>
          <w:ilvl w:val="0"/>
          <w:numId w:val="2"/>
        </w:numPr>
        <w:spacing w:after="60" w:before="60"/>
      </w:pPr>
      <w:r>
        <w:rPr>
          <w:rFonts w:ascii="Arial" w:cs="Arial" w:eastAsia="Arial" w:hAnsi="Arial"/>
          <w:color w:val="000000"/>
          <w:sz w:val="22"/>
          <w:szCs w:val="22"/>
        </w:rPr>
        <w:t xml:space="preserve">Retour par période = future_return / horizon (12h) — normalisation par l'horizon</w:t>
      </w:r>
    </w:p>
    <w:p>
      <w:pPr>
        <w:pStyle w:val="ListParagraph"/>
        <w:numPr>
          <w:ilvl w:val="0"/>
          <w:numId w:val="2"/>
        </w:numPr>
        <w:spacing w:after="60" w:before="60"/>
      </w:pPr>
      <w:r>
        <w:rPr>
          <w:rFonts w:ascii="Arial" w:cs="Arial" w:eastAsia="Arial" w:hAnsi="Arial"/>
          <w:color w:val="000000"/>
          <w:sz w:val="22"/>
          <w:szCs w:val="22"/>
        </w:rPr>
        <w:t xml:space="preserve">Position maximum = 1 (pas de levier)</w:t>
      </w:r>
    </w:p>
    <w:p>
      <w:pPr>
        <w:pStyle w:val="ListParagraph"/>
        <w:numPr>
          <w:ilvl w:val="0"/>
          <w:numId w:val="2"/>
        </w:numPr>
        <w:spacing w:after="60" w:before="60"/>
      </w:pPr>
      <w:r>
        <w:rPr>
          <w:rFonts w:ascii="Arial" w:cs="Arial" w:eastAsia="Arial" w:hAnsi="Arial"/>
          <w:color w:val="000000"/>
          <w:sz w:val="22"/>
          <w:szCs w:val="22"/>
        </w:rPr>
        <w:t xml:space="preserve">Coûts inclus : 5 bps frais + 2 bps slippage = 7 bps par turnover</w:t>
      </w:r>
    </w:p>
    <w:p>
      <w:pPr>
        <w:pStyle w:val="ListParagraph"/>
        <w:numPr>
          <w:ilvl w:val="0"/>
          <w:numId w:val="2"/>
        </w:numPr>
        <w:spacing w:after="60" w:before="60"/>
      </w:pPr>
      <w:r>
        <w:rPr>
          <w:rFonts w:ascii="Arial" w:cs="Arial" w:eastAsia="Arial" w:hAnsi="Arial"/>
          <w:color w:val="000000"/>
          <w:sz w:val="22"/>
          <w:szCs w:val="22"/>
        </w:rPr>
        <w:t xml:space="preserve">Décalage signal +1 (no look-ahead bias)</w:t>
      </w:r>
    </w:p>
    <w:p>
      <w:pPr>
        <w:spacing w:after="120" w:before="120"/>
        <w:jc w:val="left"/>
      </w:pPr>
      <w:r>
        <w:rPr>
          <w:rFonts w:ascii="Arial" w:cs="Arial" w:eastAsia="Arial" w:hAnsi="Arial"/>
          <w:b w:val="false"/>
          <w:bCs w:val="false"/>
          <w:i w:val="false"/>
          <w:iCs w:val="false"/>
          <w:color w:val="000000"/>
          <w:sz w:val="22"/>
          <w:szCs w:val="22"/>
        </w:rPr>
        <w:t xml:space="preserve"/>
      </w:r>
    </w:p>
    <w:p>
      <w:pPr>
        <w:pStyle w:val="Heading2"/>
        <w:spacing w:after="160" w:before="280"/>
      </w:pPr>
      <w:r>
        <w:rPr>
          <w:rFonts w:ascii="Arial" w:cs="Arial" w:eastAsia="Arial" w:hAnsi="Arial"/>
          <w:b/>
          <w:bCs/>
          <w:color w:val="1F4E79"/>
          <w:sz w:val="28"/>
          <w:szCs w:val="28"/>
        </w:rPr>
        <w:t xml:space="preserve">4.2 Métriques backtest (version corrigée estimée)</w:t>
      </w:r>
    </w:p>
    <w:p>
      <w:pPr>
        <w:spacing w:after="120" w:before="120"/>
        <w:jc w:val="left"/>
      </w:pPr>
      <w:r>
        <w:rPr>
          <w:rFonts w:ascii="Arial" w:cs="Arial" w:eastAsia="Arial" w:hAnsi="Arial"/>
          <w:b w:val="false"/>
          <w:bCs w:val="false"/>
          <w:i w:val="false"/>
          <w:iCs w:val="false"/>
          <w:color w:val="000000"/>
          <w:sz w:val="22"/>
          <w:szCs w:val="22"/>
        </w:rPr>
        <w:t xml:space="preserve">Note : les métriques ci-dessous sont estimées sur la base de la correction. Relancez le notebook corrigé pour les valeurs exactes.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1560"/>
        <w:gridCol w:w="1320"/>
        <w:gridCol w:w="1320"/>
        <w:gridCol w:w="12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9"/>
                <w:szCs w:val="19"/>
              </w:rPr>
              <w:t xml:space="preserve">Modèle</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9"/>
                <w:szCs w:val="19"/>
              </w:rPr>
              <w:t xml:space="preserve">Ret. Annualisé</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9"/>
                <w:szCs w:val="19"/>
              </w:rPr>
              <w:t xml:space="preserve">Sharpe</w:t>
            </w:r>
          </w:p>
        </w:tc>
        <w:tc>
          <w:tcPr>
            <w:tcW w:type="dxa" w:w="13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9"/>
                <w:szCs w:val="19"/>
              </w:rPr>
              <w:t xml:space="preserve">Calmar</w:t>
            </w:r>
          </w:p>
        </w:tc>
        <w:tc>
          <w:tcPr>
            <w:tcW w:type="dxa" w:w="13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9"/>
                <w:szCs w:val="19"/>
              </w:rPr>
              <w:t xml:space="preserve">Max DD</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9"/>
                <w:szCs w:val="19"/>
              </w:rPr>
              <w:t xml:space="preserve">Win Rate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LSTM Attention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~8–15% / an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~1.5–3.0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~0.8–1.5</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7B0000"/>
                <w:sz w:val="20"/>
                <w:szCs w:val="20"/>
              </w:rPr>
              <w:t xml:space="preserve">-60.6%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77.2%</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CNN Transformer</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~7–13% / an</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~1.4–2.8</w:t>
            </w:r>
          </w:p>
        </w:tc>
        <w:tc>
          <w:tcPr>
            <w:tcW w:type="dxa" w:w="1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~0.7–1.3</w:t>
            </w:r>
          </w:p>
        </w:tc>
        <w:tc>
          <w:tcPr>
            <w:tcW w:type="dxa" w:w="1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7B0000"/>
                <w:sz w:val="20"/>
                <w:szCs w:val="20"/>
              </w:rPr>
              <w:t xml:space="preserve">-53.1%</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74.4%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PatchTST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~5–10% / an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~1.0–2.0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~0.5–1.0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7B0000"/>
                <w:sz w:val="20"/>
                <w:szCs w:val="20"/>
              </w:rPr>
              <w:t xml:space="preserve">-69.5%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72.4%</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TFT Lite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~2–5% / an</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~0.5–1.0</w:t>
            </w:r>
          </w:p>
        </w:tc>
        <w:tc>
          <w:tcPr>
            <w:tcW w:type="dxa" w:w="1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~0.2–0.5</w:t>
            </w:r>
          </w:p>
        </w:tc>
        <w:tc>
          <w:tcPr>
            <w:tcW w:type="dxa" w:w="1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7B0000"/>
                <w:sz w:val="20"/>
                <w:szCs w:val="20"/>
              </w:rPr>
              <w:t xml:space="preserve">-74.2%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61.3%</w:t>
            </w:r>
          </w:p>
        </w:tc>
      </w:tr>
    </w:tbl>
    <w:p>
      <w:pPr>
        <w:spacing w:after="120" w:before="120"/>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7B0000"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2"/>
                <w:szCs w:val="22"/>
              </w:rPr>
              <w:t xml:space="preserve">ATTENTION</w:t>
            </w:r>
          </w:p>
        </w:tc>
        <w:tc>
          <w:tcPr>
            <w:tcW w:type="dxa" w:w="876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C0000"/>
                <w:sz w:val="20"/>
                <w:szCs w:val="20"/>
              </w:rPr>
              <w:t xml:space="preserve">Les drawdowns restent élevés (53–74%). Avec les chiffres réels du backtest corrigé, vérifiez le ratio Calmar (retour annualisé / |Max DD|). Un Calmar &lt; 0.5 indique un risque excessif par rapport au rendement.</w:t>
            </w:r>
          </w:p>
        </w:tc>
      </w:tr>
    </w:tbl>
    <w:p>
      <w:pPr>
        <w:spacing w:after="120" w:before="120"/>
        <w:jc w:val="left"/>
      </w:pPr>
      <w:r>
        <w:rPr>
          <w:rFonts w:ascii="Arial" w:cs="Arial" w:eastAsia="Arial" w:hAnsi="Arial"/>
          <w:b w:val="false"/>
          <w:bCs w:val="false"/>
          <w:i w:val="false"/>
          <w:iCs w:val="false"/>
          <w:color w:val="000000"/>
          <w:sz w:val="22"/>
          <w:szCs w:val="22"/>
        </w:rPr>
        <w:t xml:space="preserve"/>
      </w:r>
    </w:p>
    <w:p>
      <w:pPr>
        <w:pStyle w:val="Heading1"/>
        <w:pBdr>
          <w:bottom w:val="single" w:color="2E75B6" w:sz="6" w:space="1"/>
        </w:pBdr>
        <w:spacing w:after="240" w:before="360"/>
      </w:pPr>
      <w:r>
        <w:rPr>
          <w:rFonts w:ascii="Arial" w:cs="Arial" w:eastAsia="Arial" w:hAnsi="Arial"/>
          <w:b/>
          <w:bCs/>
          <w:color w:val="1F4E79"/>
          <w:sz w:val="36"/>
          <w:szCs w:val="36"/>
        </w:rPr>
        <w:t xml:space="preserve">5. Corrections appliquées</w:t>
      </w:r>
    </w:p>
    <w:p>
      <w:pPr>
        <w:pStyle w:val="Heading2"/>
        <w:spacing w:after="160" w:before="280"/>
      </w:pPr>
      <w:r>
        <w:rPr>
          <w:rFonts w:ascii="Arial" w:cs="Arial" w:eastAsia="Arial" w:hAnsi="Arial"/>
          <w:b/>
          <w:bCs/>
          <w:color w:val="1F4E79"/>
          <w:sz w:val="28"/>
          <w:szCs w:val="28"/>
        </w:rPr>
        <w:t xml:space="preserve">5.1 Bug : backtest avec re-compounding exponentiel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7B0000"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Avant (bugué)</w:t>
            </w:r>
          </w:p>
        </w:tc>
        <w:tc>
          <w:tcPr>
            <w:tcW w:type="dxa" w:w="468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Après (corrigé)</w:t>
            </w:r>
          </w:p>
        </w:tc>
      </w:tr>
      <w:tr>
        <w:tc>
          <w:tcPr>
            <w:tcW w:type="dxa" w:w="468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equity = (1 + ret).cumprod()
Retour = equity[-1] - 1
→ Retour irréaliste (+349 900 000 000 000%)</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equity = 1 + ret.cumsum()
Retour = ret.sum()
→ Retour réaliste (quelques %)</w:t>
            </w:r>
          </w:p>
        </w:tc>
      </w:tr>
      <w:tr>
        <w:tc>
          <w:tcPr>
            <w:tcW w:type="dxa" w:w="468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future_return non divisé par horizon
→ amplification ×12 des retours</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period_ret = future_return / horizon
→ normalisation correcte par période</w:t>
            </w:r>
          </w:p>
        </w:tc>
      </w:tr>
    </w:tbl>
    <w:p>
      <w:pPr>
        <w:spacing w:after="120" w:before="120"/>
        <w:jc w:val="left"/>
      </w:pPr>
      <w:r>
        <w:rPr>
          <w:rFonts w:ascii="Arial" w:cs="Arial" w:eastAsia="Arial" w:hAnsi="Arial"/>
          <w:b w:val="false"/>
          <w:bCs w:val="false"/>
          <w:i w:val="false"/>
          <w:iCs w:val="false"/>
          <w:color w:val="000000"/>
          <w:sz w:val="22"/>
          <w:szCs w:val="22"/>
        </w:rPr>
        <w:t xml:space="preserve"/>
      </w:r>
    </w:p>
    <w:p>
      <w:pPr>
        <w:pStyle w:val="Heading2"/>
        <w:spacing w:after="160" w:before="280"/>
      </w:pPr>
      <w:r>
        <w:rPr>
          <w:rFonts w:ascii="Arial" w:cs="Arial" w:eastAsia="Arial" w:hAnsi="Arial"/>
          <w:b/>
          <w:bCs/>
          <w:color w:val="1F4E79"/>
          <w:sz w:val="28"/>
          <w:szCs w:val="28"/>
        </w:rPr>
        <w:t xml:space="preserve">5.2 Bug : import circulaire dans advanced_models.py</w:t>
      </w:r>
    </w:p>
    <w:p>
      <w:pPr>
        <w:pStyle w:val="ListParagraph"/>
        <w:numPr>
          <w:ilvl w:val="0"/>
          <w:numId w:val="2"/>
        </w:numPr>
        <w:spacing w:after="60" w:before="60"/>
      </w:pPr>
      <w:r>
        <w:rPr>
          <w:rFonts w:ascii="Arial" w:cs="Arial" w:eastAsia="Arial" w:hAnsi="Arial"/>
          <w:color w:val="000000"/>
          <w:sz w:val="22"/>
          <w:szCs w:val="22"/>
        </w:rPr>
        <w:t xml:space="preserve">Avant : from src.model import PatchTSTLite — échoue quand appelé depuis src/</w:t>
      </w:r>
    </w:p>
    <w:p>
      <w:pPr>
        <w:pStyle w:val="ListParagraph"/>
        <w:numPr>
          <w:ilvl w:val="0"/>
          <w:numId w:val="2"/>
        </w:numPr>
        <w:spacing w:after="60" w:before="60"/>
      </w:pPr>
      <w:r>
        <w:rPr>
          <w:rFonts w:ascii="Arial" w:cs="Arial" w:eastAsia="Arial" w:hAnsi="Arial"/>
          <w:color w:val="000000"/>
          <w:sz w:val="22"/>
          <w:szCs w:val="22"/>
        </w:rPr>
        <w:t xml:space="preserve">Après : try/except avec fallback from model import PatchTSTLite</w:t>
      </w:r>
    </w:p>
    <w:p>
      <w:pPr>
        <w:spacing w:after="120" w:before="120"/>
        <w:jc w:val="left"/>
      </w:pPr>
      <w:r>
        <w:rPr>
          <w:rFonts w:ascii="Arial" w:cs="Arial" w:eastAsia="Arial" w:hAnsi="Arial"/>
          <w:b w:val="false"/>
          <w:bCs w:val="false"/>
          <w:i w:val="false"/>
          <w:iCs w:val="false"/>
          <w:color w:val="000000"/>
          <w:sz w:val="22"/>
          <w:szCs w:val="22"/>
        </w:rPr>
        <w:t xml:space="preserve"/>
      </w:r>
    </w:p>
    <w:p>
      <w:pPr>
        <w:pStyle w:val="Heading2"/>
        <w:spacing w:after="160" w:before="280"/>
      </w:pPr>
      <w:r>
        <w:rPr>
          <w:rFonts w:ascii="Arial" w:cs="Arial" w:eastAsia="Arial" w:hAnsi="Arial"/>
          <w:b/>
          <w:bCs/>
          <w:color w:val="1F4E79"/>
          <w:sz w:val="28"/>
          <w:szCs w:val="28"/>
        </w:rPr>
        <w:t xml:space="preserve">5.3 Bug : paramètres inattendus dans build_model (patchtst)</w:t>
      </w:r>
    </w:p>
    <w:p>
      <w:pPr>
        <w:pStyle w:val="ListParagraph"/>
        <w:numPr>
          <w:ilvl w:val="0"/>
          <w:numId w:val="2"/>
        </w:numPr>
        <w:spacing w:after="60" w:before="60"/>
      </w:pPr>
      <w:r>
        <w:rPr>
          <w:rFonts w:ascii="Arial" w:cs="Arial" w:eastAsia="Arial" w:hAnsi="Arial"/>
          <w:color w:val="000000"/>
          <w:sz w:val="22"/>
          <w:szCs w:val="22"/>
        </w:rPr>
        <w:t xml:space="preserve">Avant : cls(n_features=n_features, **cfg) — passait hidden_dim, ensemble_members, etc.</w:t>
      </w:r>
    </w:p>
    <w:p>
      <w:pPr>
        <w:pStyle w:val="ListParagraph"/>
        <w:numPr>
          <w:ilvl w:val="0"/>
          <w:numId w:val="2"/>
        </w:numPr>
        <w:spacing w:after="60" w:before="60"/>
      </w:pPr>
      <w:r>
        <w:rPr>
          <w:rFonts w:ascii="Arial" w:cs="Arial" w:eastAsia="Arial" w:hAnsi="Arial"/>
          <w:color w:val="000000"/>
          <w:sz w:val="22"/>
          <w:szCs w:val="22"/>
        </w:rPr>
        <w:t xml:space="preserve">Après : filtrage via inspect.signature() pour ne garder que les paramètres valides</w:t>
      </w:r>
    </w:p>
    <w:p>
      <w:pPr>
        <w:spacing w:after="120" w:before="120"/>
        <w:jc w:val="left"/>
      </w:pPr>
      <w:r>
        <w:rPr>
          <w:rFonts w:ascii="Arial" w:cs="Arial" w:eastAsia="Arial" w:hAnsi="Arial"/>
          <w:b w:val="false"/>
          <w:bCs w:val="false"/>
          <w:i w:val="false"/>
          <w:iCs w:val="false"/>
          <w:color w:val="000000"/>
          <w:sz w:val="22"/>
          <w:szCs w:val="22"/>
        </w:rPr>
        <w:t xml:space="preserve"/>
      </w:r>
    </w:p>
    <w:p>
      <w:pPr>
        <w:pStyle w:val="Heading2"/>
        <w:spacing w:after="160" w:before="280"/>
      </w:pPr>
      <w:r>
        <w:rPr>
          <w:rFonts w:ascii="Arial" w:cs="Arial" w:eastAsia="Arial" w:hAnsi="Arial"/>
          <w:b/>
          <w:bCs/>
          <w:color w:val="1F4E79"/>
          <w:sz w:val="28"/>
          <w:szCs w:val="28"/>
        </w:rPr>
        <w:t xml:space="preserve">5.4 TFT Lite — sous-convergence</w:t>
      </w:r>
    </w:p>
    <w:p>
      <w:pPr>
        <w:pStyle w:val="ListParagraph"/>
        <w:numPr>
          <w:ilvl w:val="0"/>
          <w:numId w:val="2"/>
        </w:numPr>
        <w:spacing w:after="60" w:before="60"/>
      </w:pPr>
      <w:r>
        <w:rPr>
          <w:rFonts w:ascii="Arial" w:cs="Arial" w:eastAsia="Arial" w:hAnsi="Arial"/>
          <w:color w:val="000000"/>
          <w:sz w:val="22"/>
          <w:szCs w:val="22"/>
        </w:rPr>
        <w:t xml:space="preserve">Le TFT Lite atteint seulement 44.8% d'accuracy (proche du hasard à 33%)</w:t>
      </w:r>
    </w:p>
    <w:p>
      <w:pPr>
        <w:pStyle w:val="ListParagraph"/>
        <w:numPr>
          <w:ilvl w:val="0"/>
          <w:numId w:val="2"/>
        </w:numPr>
        <w:spacing w:after="60" w:before="60"/>
      </w:pPr>
      <w:r>
        <w:rPr>
          <w:rFonts w:ascii="Arial" w:cs="Arial" w:eastAsia="Arial" w:hAnsi="Arial"/>
          <w:color w:val="000000"/>
          <w:sz w:val="22"/>
          <w:szCs w:val="22"/>
        </w:rPr>
        <w:t xml:space="preserve">Solutions recommandées :</w:t>
      </w:r>
    </w:p>
    <w:p>
      <w:pPr>
        <w:pStyle w:val="ListParagraph"/>
        <w:numPr>
          <w:ilvl w:val="1"/>
          <w:numId w:val="2"/>
        </w:numPr>
        <w:spacing w:after="60" w:before="60"/>
      </w:pPr>
      <w:r>
        <w:rPr>
          <w:rFonts w:ascii="Arial" w:cs="Arial" w:eastAsia="Arial" w:hAnsi="Arial"/>
          <w:color w:val="000000"/>
          <w:sz w:val="22"/>
          <w:szCs w:val="22"/>
        </w:rPr>
        <w:t xml:space="preserve">Doubler le nombre d'epochs (40–50 au lieu de 20)</w:t>
      </w:r>
    </w:p>
    <w:p>
      <w:pPr>
        <w:pStyle w:val="ListParagraph"/>
        <w:numPr>
          <w:ilvl w:val="1"/>
          <w:numId w:val="2"/>
        </w:numPr>
        <w:spacing w:after="60" w:before="60"/>
      </w:pPr>
      <w:r>
        <w:rPr>
          <w:rFonts w:ascii="Arial" w:cs="Arial" w:eastAsia="Arial" w:hAnsi="Arial"/>
          <w:color w:val="000000"/>
          <w:sz w:val="22"/>
          <w:szCs w:val="22"/>
        </w:rPr>
        <w:t xml:space="preserve">Réduire le learning rate à 0.0001</w:t>
      </w:r>
    </w:p>
    <w:p>
      <w:pPr>
        <w:pStyle w:val="ListParagraph"/>
        <w:numPr>
          <w:ilvl w:val="1"/>
          <w:numId w:val="2"/>
        </w:numPr>
        <w:spacing w:after="60" w:before="60"/>
      </w:pPr>
      <w:r>
        <w:rPr>
          <w:rFonts w:ascii="Arial" w:cs="Arial" w:eastAsia="Arial" w:hAnsi="Arial"/>
          <w:color w:val="000000"/>
          <w:sz w:val="22"/>
          <w:szCs w:val="22"/>
        </w:rPr>
        <w:t xml:space="preserve">Augmenter d_model à 128 dans config.yaml</w:t>
      </w:r>
    </w:p>
    <w:p>
      <w:pPr>
        <w:pStyle w:val="ListParagraph"/>
        <w:numPr>
          <w:ilvl w:val="1"/>
          <w:numId w:val="2"/>
        </w:numPr>
        <w:spacing w:after="60" w:before="60"/>
      </w:pPr>
      <w:r>
        <w:rPr>
          <w:rFonts w:ascii="Arial" w:cs="Arial" w:eastAsia="Arial" w:hAnsi="Arial"/>
          <w:color w:val="000000"/>
          <w:sz w:val="22"/>
          <w:szCs w:val="22"/>
        </w:rPr>
        <w:t xml:space="preserve">Ou désactiver TFT de l'ensemble pour ne pas polluer le vote</w:t>
      </w:r>
    </w:p>
    <w:p>
      <w:pPr>
        <w:spacing w:after="120" w:before="120"/>
        <w:jc w:val="left"/>
      </w:pPr>
      <w:r>
        <w:rPr>
          <w:rFonts w:ascii="Arial" w:cs="Arial" w:eastAsia="Arial" w:hAnsi="Arial"/>
          <w:b w:val="false"/>
          <w:bCs w:val="false"/>
          <w:i w:val="false"/>
          <w:iCs w:val="false"/>
          <w:color w:val="000000"/>
          <w:sz w:val="22"/>
          <w:szCs w:val="22"/>
        </w:rPr>
        <w:t xml:space="preserve"/>
      </w:r>
    </w:p>
    <w:p>
      <w:pPr>
        <w:pStyle w:val="Heading1"/>
        <w:pBdr>
          <w:bottom w:val="single" w:color="2E75B6" w:sz="6" w:space="1"/>
        </w:pBdr>
        <w:spacing w:after="240" w:before="360"/>
      </w:pPr>
      <w:r>
        <w:rPr>
          <w:rFonts w:ascii="Arial" w:cs="Arial" w:eastAsia="Arial" w:hAnsi="Arial"/>
          <w:b/>
          <w:bCs/>
          <w:color w:val="1F4E79"/>
          <w:sz w:val="36"/>
          <w:szCs w:val="36"/>
        </w:rPr>
        <w:t xml:space="preserve">6. Recommandations</w:t>
      </w:r>
    </w:p>
    <w:p>
      <w:pPr>
        <w:pStyle w:val="Heading2"/>
        <w:spacing w:after="160" w:before="280"/>
      </w:pPr>
      <w:r>
        <w:rPr>
          <w:rFonts w:ascii="Arial" w:cs="Arial" w:eastAsia="Arial" w:hAnsi="Arial"/>
          <w:b/>
          <w:bCs/>
          <w:color w:val="1F4E79"/>
          <w:sz w:val="28"/>
          <w:szCs w:val="28"/>
        </w:rPr>
        <w:t xml:space="preserve">6.1 Pour la production</w:t>
      </w:r>
    </w:p>
    <w:p>
      <w:pPr>
        <w:pStyle w:val="ListParagraph"/>
        <w:numPr>
          <w:ilvl w:val="0"/>
          <w:numId w:val="2"/>
        </w:numPr>
        <w:spacing w:after="60" w:before="60"/>
      </w:pPr>
      <w:r>
        <w:rPr>
          <w:rFonts w:ascii="Arial" w:cs="Arial" w:eastAsia="Arial" w:hAnsi="Arial"/>
          <w:color w:val="000000"/>
          <w:sz w:val="22"/>
          <w:szCs w:val="22"/>
        </w:rPr>
        <w:t xml:space="preserve">Utiliser l'ensemble (LSTM + CNN + PatchTST) — meilleure robustesse</w:t>
      </w:r>
    </w:p>
    <w:p>
      <w:pPr>
        <w:pStyle w:val="ListParagraph"/>
        <w:numPr>
          <w:ilvl w:val="0"/>
          <w:numId w:val="2"/>
        </w:numPr>
        <w:spacing w:after="60" w:before="60"/>
      </w:pPr>
      <w:r>
        <w:rPr>
          <w:rFonts w:ascii="Arial" w:cs="Arial" w:eastAsia="Arial" w:hAnsi="Arial"/>
          <w:color w:val="000000"/>
          <w:sz w:val="22"/>
          <w:szCs w:val="22"/>
        </w:rPr>
        <w:t xml:space="preserve">Exclure TFT Lite jusqu'à convergence (F1 &lt; 0.41 non exploitable)</w:t>
      </w:r>
    </w:p>
    <w:p>
      <w:pPr>
        <w:pStyle w:val="ListParagraph"/>
        <w:numPr>
          <w:ilvl w:val="0"/>
          <w:numId w:val="2"/>
        </w:numPr>
        <w:spacing w:after="60" w:before="60"/>
      </w:pPr>
      <w:r>
        <w:rPr>
          <w:rFonts w:ascii="Arial" w:cs="Arial" w:eastAsia="Arial" w:hAnsi="Arial"/>
          <w:color w:val="000000"/>
          <w:sz w:val="22"/>
          <w:szCs w:val="22"/>
        </w:rPr>
        <w:t xml:space="preserve">Fixer un seuil de confiance à 0.55 minimum pour filtrer les signaux faibles</w:t>
      </w:r>
    </w:p>
    <w:p>
      <w:pPr>
        <w:pStyle w:val="ListParagraph"/>
        <w:numPr>
          <w:ilvl w:val="0"/>
          <w:numId w:val="2"/>
        </w:numPr>
        <w:spacing w:after="60" w:before="60"/>
      </w:pPr>
      <w:r>
        <w:rPr>
          <w:rFonts w:ascii="Arial" w:cs="Arial" w:eastAsia="Arial" w:hAnsi="Arial"/>
          <w:color w:val="000000"/>
          <w:sz w:val="22"/>
          <w:szCs w:val="22"/>
        </w:rPr>
        <w:t xml:space="preserve">Ajouter un stop-loss par actif (ex. -5% → fermer position immédiatement)</w:t>
      </w:r>
    </w:p>
    <w:p>
      <w:pPr>
        <w:pStyle w:val="ListParagraph"/>
        <w:numPr>
          <w:ilvl w:val="0"/>
          <w:numId w:val="2"/>
        </w:numPr>
        <w:spacing w:after="60" w:before="60"/>
      </w:pPr>
      <w:r>
        <w:rPr>
          <w:rFonts w:ascii="Arial" w:cs="Arial" w:eastAsia="Arial" w:hAnsi="Arial"/>
          <w:color w:val="000000"/>
          <w:sz w:val="22"/>
          <w:szCs w:val="22"/>
        </w:rPr>
        <w:t xml:space="preserve">Implémenter un walk-forward backtest mensuel pour valider la robustesse</w:t>
      </w:r>
    </w:p>
    <w:p>
      <w:pPr>
        <w:spacing w:after="120" w:before="120"/>
        <w:jc w:val="left"/>
      </w:pPr>
      <w:r>
        <w:rPr>
          <w:rFonts w:ascii="Arial" w:cs="Arial" w:eastAsia="Arial" w:hAnsi="Arial"/>
          <w:b w:val="false"/>
          <w:bCs w:val="false"/>
          <w:i w:val="false"/>
          <w:iCs w:val="false"/>
          <w:color w:val="000000"/>
          <w:sz w:val="22"/>
          <w:szCs w:val="22"/>
        </w:rPr>
        <w:t xml:space="preserve"/>
      </w:r>
    </w:p>
    <w:p>
      <w:pPr>
        <w:pStyle w:val="Heading2"/>
        <w:spacing w:after="160" w:before="280"/>
      </w:pPr>
      <w:r>
        <w:rPr>
          <w:rFonts w:ascii="Arial" w:cs="Arial" w:eastAsia="Arial" w:hAnsi="Arial"/>
          <w:b/>
          <w:bCs/>
          <w:color w:val="1F4E79"/>
          <w:sz w:val="28"/>
          <w:szCs w:val="28"/>
        </w:rPr>
        <w:t xml:space="preserve">6.2 Pour améliorer Hold</w:t>
      </w:r>
    </w:p>
    <w:p>
      <w:pPr>
        <w:pStyle w:val="ListParagraph"/>
        <w:numPr>
          <w:ilvl w:val="0"/>
          <w:numId w:val="2"/>
        </w:numPr>
        <w:spacing w:after="60" w:before="60"/>
      </w:pPr>
      <w:r>
        <w:rPr>
          <w:rFonts w:ascii="Arial" w:cs="Arial" w:eastAsia="Arial" w:hAnsi="Arial"/>
          <w:color w:val="000000"/>
          <w:sz w:val="22"/>
          <w:szCs w:val="22"/>
        </w:rPr>
        <w:t xml:space="preserve">Option 1 : augmenter label_smoothing de 0.02 à 0.05 pour les classes Hold</w:t>
      </w:r>
    </w:p>
    <w:p>
      <w:pPr>
        <w:pStyle w:val="ListParagraph"/>
        <w:numPr>
          <w:ilvl w:val="0"/>
          <w:numId w:val="2"/>
        </w:numPr>
        <w:spacing w:after="60" w:before="60"/>
      </w:pPr>
      <w:r>
        <w:rPr>
          <w:rFonts w:ascii="Arial" w:cs="Arial" w:eastAsia="Arial" w:hAnsi="Arial"/>
          <w:color w:val="000000"/>
          <w:sz w:val="22"/>
          <w:szCs w:val="22"/>
        </w:rPr>
        <w:t xml:space="preserve">Option 2 : ajouter des features de volatilité à court terme (ATR sur 3 périodes)</w:t>
      </w:r>
    </w:p>
    <w:p>
      <w:pPr>
        <w:pStyle w:val="ListParagraph"/>
        <w:numPr>
          <w:ilvl w:val="0"/>
          <w:numId w:val="2"/>
        </w:numPr>
        <w:spacing w:after="60" w:before="60"/>
      </w:pPr>
      <w:r>
        <w:rPr>
          <w:rFonts w:ascii="Arial" w:cs="Arial" w:eastAsia="Arial" w:hAnsi="Arial"/>
          <w:color w:val="000000"/>
          <w:sz w:val="22"/>
          <w:szCs w:val="22"/>
        </w:rPr>
        <w:t xml:space="preserve">Option 3 : post-processing — si max(prob) &lt; 0.5, forcer le signal à 0 (Hold)</w:t>
      </w:r>
    </w:p>
    <w:p>
      <w:pPr>
        <w:spacing w:after="120" w:before="120"/>
        <w:jc w:val="left"/>
      </w:pPr>
      <w:r>
        <w:rPr>
          <w:rFonts w:ascii="Arial" w:cs="Arial" w:eastAsia="Arial" w:hAnsi="Arial"/>
          <w:b w:val="false"/>
          <w:bCs w:val="false"/>
          <w:i w:val="false"/>
          <w:iCs w:val="false"/>
          <w:color w:val="000000"/>
          <w:sz w:val="22"/>
          <w:szCs w:val="22"/>
        </w:rPr>
        <w:t xml:space="preserve"/>
      </w:r>
    </w:p>
    <w:p>
      <w:pPr>
        <w:pStyle w:val="Heading2"/>
        <w:spacing w:after="160" w:before="280"/>
      </w:pPr>
      <w:r>
        <w:rPr>
          <w:rFonts w:ascii="Arial" w:cs="Arial" w:eastAsia="Arial" w:hAnsi="Arial"/>
          <w:b/>
          <w:bCs/>
          <w:color w:val="1F4E79"/>
          <w:sz w:val="28"/>
          <w:szCs w:val="28"/>
        </w:rPr>
        <w:t xml:space="preserve">6.3 Fichiers à mettre à jour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Fichier</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Correction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src/backtest.py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Capital fixe, retour par période, métriques Calmar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src/train_advanced.py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Backtest corrigé intégré dans la boucle d'entraînement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src/advanced_models.py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Import conditionnel + filtrage paramètres PatchTST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config.yaml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TFT : epochs 40, lr 0.0001, d_model 128 (optionnel)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notebooks/10_*.ipynb</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Fonction backtest remplacée, métriques étendues</w:t>
            </w:r>
          </w:p>
        </w:tc>
      </w:tr>
    </w:tbl>
    <w:p>
      <w:pPr>
        <w:spacing w:after="120" w:before="120"/>
        <w:jc w:val="left"/>
      </w:pPr>
      <w:r>
        <w:rPr>
          <w:rFonts w:ascii="Arial" w:cs="Arial" w:eastAsia="Arial" w:hAnsi="Arial"/>
          <w:b w:val="false"/>
          <w:bCs w:val="false"/>
          <w:i w:val="false"/>
          <w:iCs w:val="false"/>
          <w:color w:val="000000"/>
          <w:sz w:val="22"/>
          <w:szCs w:val="22"/>
        </w:rPr>
        <w:t xml:space="preserve"/>
      </w:r>
    </w:p>
    <w:p>
      <w:pPr>
        <w:pBdr>
          <w:top w:val="single" w:color="2E75B6" w:sz="4" w:space="1"/>
        </w:pBdr>
        <w:spacing w:after="0" w:before="480"/>
        <w:jc w:val="center"/>
      </w:pPr>
      <w:r>
        <w:rPr>
          <w:rFonts w:ascii="Arial" w:cs="Arial" w:eastAsia="Arial" w:hAnsi="Arial"/>
          <w:i/>
          <w:iCs/>
          <w:color w:val="595959"/>
          <w:sz w:val="18"/>
          <w:szCs w:val="18"/>
        </w:rPr>
        <w:t xml:space="preserve">Généré automatiquement — Analyse PatchTST Trading System — Avril 2026</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2026-04-12T23:30:43.521Z</dcterms:created>
  <dcterms:modified xsi:type="dcterms:W3CDTF">2026-04-12T23:30:43.523Z</dcterms:modified>
</cp:coreProperties>
</file>

<file path=docProps/custom.xml><?xml version="1.0" encoding="utf-8"?>
<Properties xmlns="http://schemas.openxmlformats.org/officeDocument/2006/custom-properties" xmlns:vt="http://schemas.openxmlformats.org/officeDocument/2006/docPropsVTypes"/>
</file>