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0"/>
        </w:pBdr>
        <w:shd w:fill="1F4E79" w:val="clear"/>
        <w:spacing w:after="0" w:before="0"/>
        <w:jc w:val="center"/>
      </w:pPr>
      <w:r>
        <w:rPr>
          <w:sz w:val="22"/>
          <w:szCs w:val="22"/>
        </w:rPr>
        <w:t xml:space="preserve"/>
      </w:r>
    </w:p>
    <w:p>
      <w:pPr>
        <w:shd w:fill="1F4E79" w:val="clear"/>
        <w:spacing w:after="0" w:before="0"/>
        <w:jc w:val="center"/>
      </w:pPr>
      <w:r>
        <w:rPr>
          <w:sz w:val="48"/>
          <w:szCs w:val="48"/>
        </w:rPr>
        <w:t xml:space="preserve"/>
      </w:r>
    </w:p>
    <w:p>
      <w:pPr>
        <w:spacing w:after="40" w:before="720"/>
        <w:jc w:val="center"/>
      </w:pPr>
      <w:r>
        <w:rPr>
          <w:rFonts w:ascii="Calibri" w:cs="Calibri" w:eastAsia="Calibri" w:hAnsi="Calibri"/>
          <w:b/>
          <w:bCs/>
          <w:color w:val="1F4E79"/>
          <w:sz w:val="52"/>
          <w:szCs w:val="52"/>
        </w:rPr>
        <w:t xml:space="preserve">RAPPORT FINAL DE PROJET</w:t>
      </w:r>
    </w:p>
    <w:p>
      <w:pPr>
        <w:spacing w:after="40" w:before="0"/>
        <w:jc w:val="center"/>
      </w:pPr>
      <w:r>
        <w:rPr>
          <w:rFonts w:ascii="Calibri" w:cs="Calibri" w:eastAsia="Calibri" w:hAnsi="Calibri"/>
          <w:i/>
          <w:iCs/>
          <w:color w:val="2E75B6"/>
          <w:sz w:val="32"/>
          <w:szCs w:val="32"/>
        </w:rPr>
        <w:t xml:space="preserve">Système de Trading par Intelligence Artificielle</w:t>
      </w:r>
    </w:p>
    <w:p>
      <w:pPr>
        <w:spacing w:after="40" w:before="0"/>
        <w:jc w:val="center"/>
      </w:pPr>
      <w:r>
        <w:rPr>
          <w:rFonts w:ascii="Calibri" w:cs="Calibri" w:eastAsia="Calibri" w:hAnsi="Calibri"/>
          <w:color w:val="595959"/>
          <w:sz w:val="24"/>
          <w:szCs w:val="24"/>
        </w:rPr>
        <w:t xml:space="preserve">Ensemble Multi-Modèles : PatchTST · LSTM Attention · CNN Transformer</w:t>
      </w:r>
    </w:p>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Auteur</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Date</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Version</w:t>
            </w:r>
          </w:p>
        </w:tc>
        <w:tc>
          <w:tcPr>
            <w:tcW w:type="dxa" w:w="22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Statut</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Projet IA — Trading</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Avril 2026</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2.0</w:t>
            </w:r>
          </w:p>
        </w:tc>
        <w:tc>
          <w:tcPr>
            <w:tcW w:type="dxa" w:w="225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Final</w:t>
            </w:r>
          </w:p>
        </w:tc>
      </w:tr>
    </w:tbl>
    <w:p>
      <w:pPr>
        <w:spacing w:after="0" w:before="240"/>
      </w:pPr>
      <w:r>
        <w:rPr>
          <w:sz w:val="22"/>
          <w:szCs w:val="22"/>
        </w:rPr>
        <w:t xml:space="preserve"/>
      </w:r>
    </w:p>
    <w:p>
      <w:pPr>
        <w:pStyle w:val="Heading1"/>
        <w:pBdr>
          <w:bottom w:val="single" w:color="2E75B6" w:sz="8" w:space="1"/>
        </w:pBdr>
        <w:spacing w:after="180" w:before="400"/>
      </w:pPr>
      <w:r>
        <w:rPr>
          <w:rFonts w:ascii="Calibri" w:cs="Calibri" w:eastAsia="Calibri" w:hAnsi="Calibri"/>
          <w:b/>
          <w:bCs/>
          <w:color w:val="1F4E79"/>
          <w:sz w:val="36"/>
          <w:szCs w:val="36"/>
        </w:rPr>
        <w:t xml:space="preserve">Table des matières</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1.  Introduction et contexte du projet</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3</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2.  Données et préparation</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4</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3.  Architecture des modèles</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5</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4.  Entraînement et résultats (Notebook 12)</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6</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5.  Optimisation Optuna multi-objectif (Notebook 13)</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8</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6.  Ensemble pondéré final</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10</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7.  Backtest et évaluation financière</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11</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8.  Bugs identifiés et corrections</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12</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9.  Déploiement API FastAPI + Docker</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13</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10.  Pipeline CI/CD GitHub Actions</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14</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11.  Analyse critique et limites</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15</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12.  Perspectives et travaux futurs</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16</w:t>
      </w:r>
    </w:p>
    <w:p>
      <w:pPr>
        <w:tabs>
          <w:tab w:val="right" w:pos="9026" w:leader="dot"/>
        </w:tabs>
        <w:spacing w:after="50" w:before="50"/>
      </w:pPr>
      <w:r>
        <w:rPr>
          <w:rFonts w:ascii="Calibri" w:cs="Calibri" w:eastAsia="Calibri" w:hAnsi="Calibri"/>
          <w:b w:val="false"/>
          <w:bCs w:val="false"/>
          <w:i w:val="false"/>
          <w:iCs w:val="false"/>
          <w:color w:val="000000"/>
          <w:sz w:val="22"/>
          <w:szCs w:val="22"/>
        </w:rPr>
        <w:t xml:space="preserve">13.  Conclusion</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17</w:t>
      </w:r>
    </w:p>
    <w:p>
      <w:pPr>
        <w:tabs>
          <w:tab w:val="right" w:pos="9026" w:leader="dot"/>
        </w:tabs>
        <w:spacing w:after="50" w:before="50"/>
      </w:pPr>
      <w:r>
        <w:rPr>
          <w:rFonts w:ascii="Calibri" w:cs="Calibri" w:eastAsia="Calibri" w:hAnsi="Calibri"/>
          <w:b/>
          <w:bCs/>
          <w:i w:val="false"/>
          <w:iCs w:val="false"/>
          <w:color w:val="000000"/>
          <w:sz w:val="22"/>
          <w:szCs w:val="22"/>
        </w:rPr>
        <w:t xml:space="preserve">Annexe A  Liste des fichiers livrés</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18</w:t>
      </w:r>
    </w:p>
    <w:p>
      <w:pPr>
        <w:tabs>
          <w:tab w:val="right" w:pos="9026" w:leader="dot"/>
        </w:tabs>
        <w:spacing w:after="50" w:before="50"/>
      </w:pPr>
      <w:r>
        <w:rPr>
          <w:rFonts w:ascii="Calibri" w:cs="Calibri" w:eastAsia="Calibri" w:hAnsi="Calibri"/>
          <w:b/>
          <w:bCs/>
          <w:i w:val="false"/>
          <w:iCs w:val="false"/>
          <w:color w:val="000000"/>
          <w:sz w:val="22"/>
          <w:szCs w:val="22"/>
        </w:rPr>
        <w:t xml:space="preserve">Annexe B  Configuration complète (config.yaml)</w:t>
      </w:r>
      <w:r>
        <w:rPr>
          <w:rFonts w:ascii="Calibri" w:cs="Calibri" w:eastAsia="Calibri" w:hAnsi="Calibri"/>
          <w:sz w:val="22"/>
          <w:szCs w:val="22"/>
        </w:rPr>
        <w:t xml:space="preserve">	</w:t>
      </w:r>
      <w:r>
        <w:rPr>
          <w:rFonts w:ascii="Calibri" w:cs="Calibri" w:eastAsia="Calibri" w:hAnsi="Calibri"/>
          <w:b w:val="false"/>
          <w:bCs w:val="false"/>
          <w:i w:val="false"/>
          <w:iCs w:val="false"/>
          <w:color w:val="2E75B6"/>
          <w:sz w:val="22"/>
          <w:szCs w:val="22"/>
        </w:rPr>
        <w:t xml:space="preserve">19</w:t>
      </w:r>
    </w:p>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1. Introduction et contexte du projet</w:t>
      </w:r>
    </w:p>
    <w:p>
      <w:pPr>
        <w:pStyle w:val="Heading2"/>
        <w:spacing w:after="120" w:before="280"/>
      </w:pPr>
      <w:r>
        <w:rPr>
          <w:rFonts w:ascii="Calibri" w:cs="Calibri" w:eastAsia="Calibri" w:hAnsi="Calibri"/>
          <w:b/>
          <w:bCs/>
          <w:color w:val="2E75B6"/>
          <w:sz w:val="28"/>
          <w:szCs w:val="28"/>
        </w:rPr>
        <w:t xml:space="preserve">1.1 Problématique</w:t>
      </w:r>
    </w:p>
    <w:p>
      <w:pPr>
        <w:spacing w:after="80" w:before="80" w:line="276"/>
        <w:jc w:val="both"/>
      </w:pPr>
      <w:r>
        <w:rPr>
          <w:rFonts w:ascii="Calibri" w:cs="Calibri" w:eastAsia="Calibri" w:hAnsi="Calibri"/>
          <w:b w:val="false"/>
          <w:bCs w:val="false"/>
          <w:i w:val="false"/>
          <w:iCs w:val="false"/>
          <w:color w:val="000000"/>
          <w:sz w:val="22"/>
          <w:szCs w:val="22"/>
        </w:rPr>
        <w:t xml:space="preserve">Les marchés de cryptomonnaies présentent une volatilité extrême et évoluent en continu, 24 heures sur 24 et 7 jours sur 7. La prise de décision manuelle dans cet environnement est à la fois chronophage, sujette aux biais émotionnels et difficile à systématiser. L'objectif de ce projet est de concevoir un système automatisé d'aide à la décision de trading basé sur l'intelligence artificielle, capable d'analyser des séries temporelles financières et de produire des signaux exploitables : ACHAT (BUY), VENTE (SELL) ou ATTENTE (HOLD).</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1.2 Objectifs du projet</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Collecter et préparer des données de marché crypto horaires sur 4 actifs majeurs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Concevoir et entraîner plusieurs architectures de deep learning pour la classification de signaux</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Optimiser les hyperparamètres par recherche multi-objectif (F1-macro et Sharpe simultanément)</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Construire un ensemble pondéré surpassant les modèles individuels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Déployer le système en production via une API REST containerisée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Mettre en place un pipeline CI/CD complet sur GitHub Actions</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1.3 Périmètre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Composant</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Langage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Python 3.11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Deep Learning</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PyTorch 2.10.0 + CUDA T4 (Google Colab)</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API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FastAPI + Uvicorn + Pydantic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Optimisation</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Optuna 3.x — NSGAIISampler + TPESampler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Tracking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MLflow — 3 expériences distinctes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Containerisation</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Docker multi-stage + Docker Compose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CI/CD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GitHub Actions — ci.yml + cd.yml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Environnement</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Google Colab T4 GPU (entraînement) + Local CPU (inférence)</w:t>
            </w:r>
          </w:p>
        </w:tc>
      </w:tr>
    </w:tbl>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2. Données et préparation</w:t>
      </w:r>
    </w:p>
    <w:p>
      <w:pPr>
        <w:pStyle w:val="Heading2"/>
        <w:spacing w:after="120" w:before="280"/>
      </w:pPr>
      <w:r>
        <w:rPr>
          <w:rFonts w:ascii="Calibri" w:cs="Calibri" w:eastAsia="Calibri" w:hAnsi="Calibri"/>
          <w:b/>
          <w:bCs/>
          <w:color w:val="2E75B6"/>
          <w:sz w:val="28"/>
          <w:szCs w:val="28"/>
        </w:rPr>
        <w:t xml:space="preserve">2.1 Source et collecte</w:t>
      </w:r>
    </w:p>
    <w:p>
      <w:pPr>
        <w:spacing w:after="80" w:before="80" w:line="276"/>
        <w:jc w:val="both"/>
      </w:pPr>
      <w:r>
        <w:rPr>
          <w:rFonts w:ascii="Calibri" w:cs="Calibri" w:eastAsia="Calibri" w:hAnsi="Calibri"/>
          <w:b w:val="false"/>
          <w:bCs w:val="false"/>
          <w:i w:val="false"/>
          <w:iCs w:val="false"/>
          <w:color w:val="000000"/>
          <w:sz w:val="22"/>
          <w:szCs w:val="22"/>
        </w:rPr>
        <w:t xml:space="preserve">Les données sont collectées via l'API Binance pour quatre paires de cryptomonnaies majeures : BTCUSDT, ETHUSDT, BNBUSDT et SOLUSDT. La résolution temporelle est de 1 heure, couvrant la période du 14 octobre 2025 au 12 avril 2026, soit environ 180 jours de données.</w:t>
      </w:r>
    </w:p>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2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Actif</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Lignes totales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Période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Résolution</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Statut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BTCUSDT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4 320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Oct 2025 → Avr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1h</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Complet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ETHUSDT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4 320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Oct 2025 → Avr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1h</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Complet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BNBUSDT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4 320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Oct 2025 → Avr 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1h</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Complet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SOLUSDT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4 320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Oct 2025 → Avr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1h</w:t>
            </w:r>
          </w:p>
        </w:tc>
        <w:tc>
          <w:tcPr>
            <w:tcW w:type="dxa" w:w="2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Complet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TOTAL</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17 280</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4 actifs × 4 320h</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2.2 Feature engineering</w:t>
      </w:r>
    </w:p>
    <w:p>
      <w:pPr>
        <w:spacing w:after="80" w:before="80" w:line="276"/>
        <w:jc w:val="both"/>
      </w:pPr>
      <w:r>
        <w:rPr>
          <w:rFonts w:ascii="Calibri" w:cs="Calibri" w:eastAsia="Calibri" w:hAnsi="Calibri"/>
          <w:b w:val="false"/>
          <w:bCs w:val="false"/>
          <w:i w:val="false"/>
          <w:iCs w:val="false"/>
          <w:color w:val="000000"/>
          <w:sz w:val="22"/>
          <w:szCs w:val="22"/>
        </w:rPr>
        <w:t xml:space="preserve">20 features sont extraites à partir des données OHLCV brutes. Elles couvrent plusieurs catégories d'indicateurs techniques complémentaires :</w:t>
      </w:r>
    </w:p>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Catégorie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Features</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Paramètres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Rendements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ret_1h, ret_3h, ret_6h, ret_12h</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Horizons : 1, 3, 6, 12 périodes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Moyennes mobiles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sma_5, sma_10, sma_20
ema_5, ema_10, ema_20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Fenêtres : 5, 10, 20 périodes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Momentum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rsi_14</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RSI période 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Volatilité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vol_12, zscore_20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Fenêtres : 12h, 20h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Structure prix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range_pct, body_pct</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Amplitude bougie / Corps relatif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Volume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volume_zscore_20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Z-score du volume sur 20h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Calendrier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hour, dayofweek, month</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Effets calendaires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Sentiment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sentiment_score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Score externe [-1, +1]</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2.3 Construction de la cible</w:t>
      </w:r>
    </w:p>
    <w:p>
      <w:pPr>
        <w:spacing w:after="80" w:before="80" w:line="276"/>
        <w:jc w:val="both"/>
      </w:pPr>
      <w:r>
        <w:rPr>
          <w:rFonts w:ascii="Calibri" w:cs="Calibri" w:eastAsia="Calibri" w:hAnsi="Calibri"/>
          <w:b w:val="false"/>
          <w:bCs w:val="false"/>
          <w:i w:val="false"/>
          <w:iCs w:val="false"/>
          <w:color w:val="000000"/>
          <w:sz w:val="22"/>
          <w:szCs w:val="22"/>
        </w:rPr>
        <w:t xml:space="preserve">La variable cible est construite selon un horizon de prédiction de 12 heures avec deux seuils symétriques :</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BUY (classe 2)  : rendement futur sur 12h &gt; +0.8%</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SELL (classe 0) : rendement futur sur 12h &lt; -0.8%</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HOLD (classe 1) : rendement futur compris entre -0.8% et +0.8%</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2.4 Split temporel et normalisation</w:t>
      </w:r>
    </w:p>
    <w:p>
      <w:pPr>
        <w:spacing w:after="80" w:before="80" w:line="276"/>
        <w:jc w:val="both"/>
      </w:pPr>
      <w:r>
        <w:rPr>
          <w:rFonts w:ascii="Calibri" w:cs="Calibri" w:eastAsia="Calibri" w:hAnsi="Calibri"/>
          <w:b w:val="false"/>
          <w:bCs w:val="false"/>
          <w:i w:val="false"/>
          <w:iCs w:val="false"/>
          <w:color w:val="000000"/>
          <w:sz w:val="22"/>
          <w:szCs w:val="22"/>
        </w:rPr>
        <w:t xml:space="preserve">Un split temporel strict est appliqué pour éviter tout biais de fuite de données (data leakage). La normalisation est effectuée sur les données d'entraînement uniquement, puis appliquée aux jeux de validation et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Jeu</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Proportion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Lignes</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Train</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70%</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12 096</w:t>
            </w:r>
          </w:p>
        </w:tc>
        <w:tc>
          <w:tcPr>
            <w:tcW w:type="dxa" w:w="40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Entraînement des modèles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Validation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2 592</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Early stopping + sélection Optuna</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Test</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2 592 (→ 2 495*)</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Évaluation finale</w:t>
            </w:r>
          </w:p>
        </w:tc>
      </w:tr>
    </w:tbl>
    <w:p>
      <w:pPr>
        <w:spacing w:after="80" w:before="80" w:line="276"/>
        <w:jc w:val="both"/>
      </w:pPr>
      <w:r>
        <w:rPr>
          <w:rFonts w:ascii="Calibri" w:cs="Calibri" w:eastAsia="Calibri" w:hAnsi="Calibri"/>
          <w:b w:val="false"/>
          <w:bCs w:val="false"/>
          <w:i/>
          <w:iCs/>
          <w:color w:val="595959"/>
          <w:sz w:val="18"/>
          <w:szCs w:val="18"/>
        </w:rPr>
        <w:t xml:space="preserve">* 2 495 après suppression des NaN dus aux features rolling et à l'horizon futur.</w:t>
      </w:r>
    </w:p>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3. Architecture des modèles</w:t>
      </w:r>
    </w:p>
    <w:p>
      <w:pPr>
        <w:pStyle w:val="Heading2"/>
        <w:spacing w:after="120" w:before="280"/>
      </w:pPr>
      <w:r>
        <w:rPr>
          <w:rFonts w:ascii="Calibri" w:cs="Calibri" w:eastAsia="Calibri" w:hAnsi="Calibri"/>
          <w:b/>
          <w:bCs/>
          <w:color w:val="2E75B6"/>
          <w:sz w:val="28"/>
          <w:szCs w:val="28"/>
        </w:rPr>
        <w:t xml:space="preserve">3.1 PatchTST</w:t>
      </w:r>
    </w:p>
    <w:p>
      <w:pPr>
        <w:spacing w:after="80" w:before="80" w:line="276"/>
        <w:jc w:val="both"/>
      </w:pPr>
      <w:r>
        <w:rPr>
          <w:rFonts w:ascii="Calibri" w:cs="Calibri" w:eastAsia="Calibri" w:hAnsi="Calibri"/>
          <w:b/>
          <w:bCs/>
          <w:i w:val="false"/>
          <w:iCs w:val="false"/>
          <w:color w:val="000000"/>
          <w:sz w:val="22"/>
          <w:szCs w:val="22"/>
        </w:rPr>
        <w:t xml:space="preserve">Architecture : </w:t>
      </w:r>
      <w:r>
        <w:rPr>
          <w:rFonts w:ascii="Calibri" w:cs="Calibri" w:eastAsia="Calibri" w:hAnsi="Calibri"/>
          <w:b w:val="false"/>
          <w:bCs w:val="false"/>
          <w:i w:val="false"/>
          <w:iCs w:val="false"/>
          <w:color w:val="000000"/>
          <w:sz w:val="22"/>
          <w:szCs w:val="22"/>
        </w:rPr>
        <w:t xml:space="preserve">Transformer appliqué sur des patchs de séquences temporelles. La série d'entrée est découpée en segments chevauchants (patches), projetés linéairement avant d'être traités par un encoder Transformer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Paramètre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Valeur défaut</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seq_len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96</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Fenêtre d'entrée (96 heures = 4 jours)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patch_len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12</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Longueur de chaque patch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stride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Décalage entre patches (chevauchement 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d_model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64</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Dimension de l'embedding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n_heads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Nombre de têtes d'attention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n_layers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Nombre de couches Transformer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Paramètres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116 163</w:t>
            </w:r>
          </w:p>
        </w:tc>
        <w:tc>
          <w:tcPr>
            <w:tcW w:type="dxa" w:w="53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Modèle le plus léger de l'ensemble</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3.2 LSTM Attention</w:t>
      </w:r>
    </w:p>
    <w:p>
      <w:pPr>
        <w:spacing w:after="80" w:before="80" w:line="276"/>
        <w:jc w:val="both"/>
      </w:pPr>
      <w:r>
        <w:rPr>
          <w:rFonts w:ascii="Calibri" w:cs="Calibri" w:eastAsia="Calibri" w:hAnsi="Calibri"/>
          <w:b/>
          <w:bCs/>
          <w:i w:val="false"/>
          <w:iCs w:val="false"/>
          <w:color w:val="000000"/>
          <w:sz w:val="22"/>
          <w:szCs w:val="22"/>
        </w:rPr>
        <w:t xml:space="preserve">Architecture : </w:t>
      </w:r>
      <w:r>
        <w:rPr>
          <w:rFonts w:ascii="Calibri" w:cs="Calibri" w:eastAsia="Calibri" w:hAnsi="Calibri"/>
          <w:b w:val="false"/>
          <w:bCs w:val="false"/>
          <w:i w:val="false"/>
          <w:iCs w:val="false"/>
          <w:color w:val="000000"/>
          <w:sz w:val="22"/>
          <w:szCs w:val="22"/>
        </w:rPr>
        <w:t xml:space="preserve">LSTM bidirectionnel suivi d'une couche de self-attention multi-têtes. La sortie de l'attention est moyennée sur la dimension temporelle avant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Paramètre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Valeur défaut</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hidden_dim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128</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Dimension cachée du LSTM par direction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n_layers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Nombre de couches LSTM empilées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n_heads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Têtes d'attention (opère sur hidden_dim × 2)</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Paramètres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1 354 883</w:t>
            </w:r>
          </w:p>
        </w:tc>
        <w:tc>
          <w:tcPr>
            <w:tcW w:type="dxa" w:w="53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Modèle le plus expressif — 12× plus grand que PatchTST</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3.3 CNN Transformer</w:t>
      </w:r>
    </w:p>
    <w:p>
      <w:pPr>
        <w:spacing w:after="80" w:before="80" w:line="276"/>
        <w:jc w:val="both"/>
      </w:pPr>
      <w:r>
        <w:rPr>
          <w:rFonts w:ascii="Calibri" w:cs="Calibri" w:eastAsia="Calibri" w:hAnsi="Calibri"/>
          <w:b/>
          <w:bCs/>
          <w:i w:val="false"/>
          <w:iCs w:val="false"/>
          <w:color w:val="000000"/>
          <w:sz w:val="22"/>
          <w:szCs w:val="22"/>
        </w:rPr>
        <w:t xml:space="preserve">Architecture : </w:t>
      </w:r>
      <w:r>
        <w:rPr>
          <w:rFonts w:ascii="Calibri" w:cs="Calibri" w:eastAsia="Calibri" w:hAnsi="Calibri"/>
          <w:b w:val="false"/>
          <w:bCs w:val="false"/>
          <w:i w:val="false"/>
          <w:iCs w:val="false"/>
          <w:color w:val="000000"/>
          <w:sz w:val="22"/>
          <w:szCs w:val="22"/>
        </w:rPr>
        <w:t xml:space="preserve">Convolutions temporelles multi-échelles (kernels 3, 7, 15) qui extraient des patterns locaux à différentes granularités, concatenées puis projetées vers un encoder Transformer.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Paramètre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Valeur défaut</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d_model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64</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Dimension de projection après CNN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n_heads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Têtes d'attention du Transformer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kernels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3, 7, 15</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Trois échelles temporelles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Paramètres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195 331</w:t>
            </w:r>
          </w:p>
        </w:tc>
        <w:tc>
          <w:tcPr>
            <w:tcW w:type="dxa" w:w="53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Bon compromis taille/performance</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3.4 TFT Lite (exclu de l'ensemble)</w:t>
      </w:r>
    </w:p>
    <w:p>
      <w:pPr>
        <w:spacing w:after="80" w:before="80" w:line="276"/>
        <w:jc w:val="both"/>
      </w:pPr>
      <w:r>
        <w:rPr>
          <w:rFonts w:ascii="Calibri" w:cs="Calibri" w:eastAsia="Calibri" w:hAnsi="Calibri"/>
          <w:b w:val="false"/>
          <w:bCs w:val="false"/>
          <w:i w:val="false"/>
          <w:iCs w:val="false"/>
          <w:color w:val="000000"/>
          <w:sz w:val="22"/>
          <w:szCs w:val="22"/>
        </w:rPr>
        <w:t xml:space="preserve">Le Temporal Fusion Transformer Lite a été entraîné mais n'a pas convergé de manière satisfaisante en 20 epochs. Avec un F1-macro de 0.401 (proche du hasard à 0.333), il est exclu de l'ensemble final. Des pistes d'amélioration sont proposées en section 12.</w:t>
      </w:r>
    </w:p>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4. Entraînement et résultats — Notebook 12</w:t>
      </w:r>
    </w:p>
    <w:p>
      <w:pPr>
        <w:pStyle w:val="Heading2"/>
        <w:spacing w:after="120" w:before="280"/>
      </w:pPr>
      <w:r>
        <w:rPr>
          <w:rFonts w:ascii="Calibri" w:cs="Calibri" w:eastAsia="Calibri" w:hAnsi="Calibri"/>
          <w:b/>
          <w:bCs/>
          <w:color w:val="2E75B6"/>
          <w:sz w:val="28"/>
          <w:szCs w:val="28"/>
        </w:rPr>
        <w:t xml:space="preserve">4.1 Protocole d'entraînement</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Optimiseur : AdamW (lr=3e-4, weight_decay=1e-4)</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Fonction de perte : CrossEntropyLoss avec label smoothing=0.02</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Équilibrage : WeightedRandomSampler + poids de classe (class_weight balanced)</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Régularisation : gradient clipping (max_norm=1.0), dropout=0.20</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Early stopping : patience=6 epochs sur le F1-macro de validation</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Epochs maximum : 20</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Suivi : MLflow — expérience "PatchTST-Trading-MultiModel"</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4.2 Résultats sur le jeu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56"/>
        <w:gridCol w:w="1206"/>
        <w:gridCol w:w="1206"/>
        <w:gridCol w:w="1600"/>
        <w:gridCol w:w="1758"/>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Modèle</w:t>
            </w:r>
          </w:p>
        </w:tc>
        <w:tc>
          <w:tcPr>
            <w:tcW w:type="dxa" w:w="10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Paramètres</w:t>
            </w:r>
          </w:p>
        </w:tc>
        <w:tc>
          <w:tcPr>
            <w:tcW w:type="dxa" w:w="12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Accuracy</w:t>
            </w:r>
          </w:p>
        </w:tc>
        <w:tc>
          <w:tcPr>
            <w:tcW w:type="dxa" w:w="12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F1-macro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AUC-OVR</w:t>
            </w:r>
          </w:p>
        </w:tc>
        <w:tc>
          <w:tcPr>
            <w:tcW w:type="dxa" w:w="175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Statut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LSTM Attention</w:t>
            </w:r>
          </w:p>
        </w:tc>
        <w:tc>
          <w:tcPr>
            <w:tcW w:type="dxa" w:w="10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1 354 883</w:t>
            </w:r>
          </w:p>
        </w:tc>
        <w:tc>
          <w:tcPr>
            <w:tcW w:type="dxa" w:w="12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61.24%</w:t>
            </w:r>
          </w:p>
        </w:tc>
        <w:tc>
          <w:tcPr>
            <w:tcW w:type="dxa" w:w="12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0.6035</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0.7800</w:t>
            </w:r>
          </w:p>
        </w:tc>
        <w:tc>
          <w:tcPr>
            <w:tcW w:type="dxa" w:w="1758"/>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Ensemble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CNN Transformer</w:t>
            </w:r>
          </w:p>
        </w:tc>
        <w:tc>
          <w:tcPr>
            <w:tcW w:type="dxa" w:w="1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195 331</w:t>
            </w:r>
          </w:p>
        </w:tc>
        <w:tc>
          <w:tcPr>
            <w:tcW w:type="dxa" w:w="12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60.48%</w:t>
            </w:r>
          </w:p>
        </w:tc>
        <w:tc>
          <w:tcPr>
            <w:tcW w:type="dxa" w:w="120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0.5931</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0.7746</w:t>
            </w:r>
          </w:p>
        </w:tc>
        <w:tc>
          <w:tcPr>
            <w:tcW w:type="dxa" w:w="1758"/>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Ensemble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PatchTST</w:t>
            </w:r>
          </w:p>
        </w:tc>
        <w:tc>
          <w:tcPr>
            <w:tcW w:type="dxa" w:w="10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116 163</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57.47%</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0.5347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0.7464</w:t>
            </w:r>
          </w:p>
        </w:tc>
        <w:tc>
          <w:tcPr>
            <w:tcW w:type="dxa" w:w="1758"/>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Ensemble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TFT Lite</w:t>
            </w:r>
          </w:p>
        </w:tc>
        <w:tc>
          <w:tcPr>
            <w:tcW w:type="dxa" w:w="1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152 295</w:t>
            </w:r>
          </w:p>
        </w:tc>
        <w:tc>
          <w:tcPr>
            <w:tcW w:type="dxa" w:w="1206"/>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44.81%</w:t>
            </w:r>
          </w:p>
        </w:tc>
        <w:tc>
          <w:tcPr>
            <w:tcW w:type="dxa" w:w="1206"/>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0.4012</w:t>
            </w:r>
          </w:p>
        </w:tc>
        <w:tc>
          <w:tcPr>
            <w:tcW w:type="dxa" w:w="16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0.6202</w:t>
            </w:r>
          </w:p>
        </w:tc>
        <w:tc>
          <w:tcPr>
            <w:tcW w:type="dxa" w:w="1758"/>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Exclu</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4.3 Analyse par classe — meilleur modèle individuel (LSTM)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4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Classe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Precision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F1-score</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Sell (0)</w:t>
            </w:r>
          </w:p>
        </w:tc>
        <w:tc>
          <w:tcPr>
            <w:tcW w:type="dxa" w:w="16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0.65</w:t>
            </w:r>
          </w:p>
        </w:tc>
        <w:tc>
          <w:tcPr>
            <w:tcW w:type="dxa" w:w="16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0.73</w:t>
            </w:r>
          </w:p>
        </w:tc>
        <w:tc>
          <w:tcPr>
            <w:tcW w:type="dxa" w:w="16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0.69</w:t>
            </w:r>
          </w:p>
        </w:tc>
        <w:tc>
          <w:tcPr>
            <w:tcW w:type="dxa" w:w="2426"/>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946</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Hold (1)</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0.58</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0.38</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0.46</w:t>
            </w:r>
          </w:p>
        </w:tc>
        <w:tc>
          <w:tcPr>
            <w:tcW w:type="dxa" w:w="24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735</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Buy  (2)</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0.63</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0.71</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0.67</w:t>
            </w:r>
          </w:p>
        </w:tc>
        <w:tc>
          <w:tcPr>
            <w:tcW w:type="dxa" w:w="24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814</w:t>
            </w:r>
          </w:p>
        </w:tc>
      </w:tr>
    </w:tbl>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E6B75" w:val="clear"/>
            <w:tcMar>
              <w:top w:type="dxa" w:w="80"/>
              <w:left w:type="dxa" w:w="180"/>
              <w:bottom w:type="dxa" w:w="80"/>
              <w:right w:type="dxa" w:w="180"/>
            </w:tcMar>
          </w:tcPr>
          <w:p>
            <w:pPr>
              <w:spacing w:after="0" w:before="0"/>
            </w:pPr>
            <w:r>
              <w:rPr>
                <w:rFonts w:ascii="Calibri" w:cs="Calibri" w:eastAsia="Calibri" w:hAnsi="Calibri"/>
                <w:b/>
                <w:bCs/>
                <w:i w:val="false"/>
                <w:iCs w:val="false"/>
                <w:color w:val="FFFFFF"/>
                <w:sz w:val="22"/>
                <w:szCs w:val="22"/>
              </w:rPr>
              <w:t xml:space="preserve">Observation</w:t>
            </w:r>
          </w:p>
        </w:tc>
      </w:tr>
      <w:tr>
        <w:tc>
          <w:tcPr>
            <w:tcBorders>
              <w:top w:val="none" w:color="FFFFFF" w:sz="0"/>
              <w:left w:val="none" w:color="FFFFFF" w:sz="0"/>
              <w:bottom w:val="none" w:color="FFFFFF" w:sz="0"/>
              <w:right w:val="none" w:color="FFFFFF" w:sz="0"/>
            </w:tcBorders>
            <w:shd w:fill="D5EEF0" w:val="clear"/>
            <w:tcMar>
              <w:top w:type="dxa" w:w="100"/>
              <w:left w:type="dxa" w:w="180"/>
              <w:bottom w:type="dxa" w:w="100"/>
              <w:right w:type="dxa" w:w="180"/>
            </w:tcMar>
          </w:tcPr>
          <w:p>
            <w:pPr>
              <w:spacing w:after="40" w:before="40"/>
            </w:pPr>
            <w:r>
              <w:rPr>
                <w:rFonts w:ascii="Calibri" w:cs="Calibri" w:eastAsia="Calibri" w:hAnsi="Calibri"/>
                <w:b w:val="false"/>
                <w:bCs w:val="false"/>
                <w:i w:val="false"/>
                <w:iCs w:val="false"/>
                <w:color w:val="000000"/>
                <w:sz w:val="20"/>
                <w:szCs w:val="20"/>
              </w:rPr>
              <w:t xml:space="preserve">La classe Hold (1) est systématiquement sous-prédite (F1=0.46) sur tous les modèles.</w:t>
            </w:r>
          </w:p>
          <w:p>
            <w:pPr>
              <w:spacing w:after="40" w:before="40"/>
            </w:pPr>
            <w:r>
              <w:rPr>
                <w:rFonts w:ascii="Calibri" w:cs="Calibri" w:eastAsia="Calibri" w:hAnsi="Calibri"/>
                <w:b w:val="false"/>
                <w:bCs w:val="false"/>
                <w:i w:val="false"/>
                <w:iCs w:val="false"/>
                <w:color w:val="000000"/>
                <w:sz w:val="20"/>
                <w:szCs w:val="20"/>
              </w:rPr>
              <w:t xml:space="preserve">Ce biais est inhérent aux marchés : les périodes neutres ont une structure moins distincte.</w:t>
            </w:r>
          </w:p>
          <w:p>
            <w:pPr>
              <w:spacing w:after="40" w:before="40"/>
            </w:pPr>
            <w:r>
              <w:rPr>
                <w:rFonts w:ascii="Calibri" w:cs="Calibri" w:eastAsia="Calibri" w:hAnsi="Calibri"/>
                <w:b w:val="false"/>
                <w:bCs w:val="false"/>
                <w:i w:val="false"/>
                <w:iCs w:val="false"/>
                <w:color w:val="000000"/>
                <w:sz w:val="20"/>
                <w:szCs w:val="20"/>
              </w:rPr>
              <w:t xml:space="preserve">Piste d'amélioration : augmenter le poids de la classe Hold dans la loss ou ajuster les seuils.</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4.4 Courbes d'apprentissage</w:t>
      </w:r>
    </w:p>
    <w:p>
      <w:pPr>
        <w:spacing w:after="80" w:before="80" w:line="276"/>
        <w:jc w:val="both"/>
      </w:pPr>
      <w:r>
        <w:rPr>
          <w:rFonts w:ascii="Calibri" w:cs="Calibri" w:eastAsia="Calibri" w:hAnsi="Calibri"/>
          <w:b w:val="false"/>
          <w:bCs w:val="false"/>
          <w:i w:val="false"/>
          <w:iCs w:val="false"/>
          <w:color w:val="000000"/>
          <w:sz w:val="22"/>
          <w:szCs w:val="22"/>
        </w:rPr>
        <w:t xml:space="preserve">Les trois modèles retenus montrent une convergence régulière sur 15 à 20 epochs. Le LSTM Attention converge le plus rapidement (early stopping à l'epoch 15 typiquement). Le PatchTST est le plus stable mais requiert plus d'epochs pour atteindre son maximum. Le CNN Transformer montre parfois des oscillations de validation dues à sa capacité à extraire des patterns très locaux.</w:t>
      </w:r>
    </w:p>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5. Optimisation Optuna multi-objectif — Notebook 13</w:t>
      </w:r>
    </w:p>
    <w:p>
      <w:pPr>
        <w:pStyle w:val="Heading2"/>
        <w:spacing w:after="120" w:before="280"/>
      </w:pPr>
      <w:r>
        <w:rPr>
          <w:rFonts w:ascii="Calibri" w:cs="Calibri" w:eastAsia="Calibri" w:hAnsi="Calibri"/>
          <w:b/>
          <w:bCs/>
          <w:color w:val="2E75B6"/>
          <w:sz w:val="28"/>
          <w:szCs w:val="28"/>
        </w:rPr>
        <w:t xml:space="preserve">5.1 Motivation</w:t>
      </w:r>
    </w:p>
    <w:p>
      <w:pPr>
        <w:spacing w:after="80" w:before="80" w:line="276"/>
        <w:jc w:val="both"/>
      </w:pPr>
      <w:r>
        <w:rPr>
          <w:rFonts w:ascii="Calibri" w:cs="Calibri" w:eastAsia="Calibri" w:hAnsi="Calibri"/>
          <w:b w:val="false"/>
          <w:bCs w:val="false"/>
          <w:i w:val="false"/>
          <w:iCs w:val="false"/>
          <w:color w:val="000000"/>
          <w:sz w:val="22"/>
          <w:szCs w:val="22"/>
        </w:rPr>
        <w:t xml:space="preserve">L'optimisation des hyperparamètres par recherche sur grille ou aléatoire présente deux limites : elle optimise un seul objectif à la fois et ne capture pas les compromis entre performance de classification et performance financière. Nous avons choisi une approche multi-objectif (Pareto) pour optimiser simultanément le F1-macro (qualité de classification) et le Sharpe ratio (qualité du signal de trading).</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5.2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Paramètre</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Sampler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NSGAIISampler (algorithme génétique multi-objectif NSGA-II)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Objectifs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Maximiser F1-macro (val) + Maximiser Sharpe ratio (val)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Trials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20 par modèle — 60 au total (séquentiel)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Epochs / trial</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8 epochs (entraînement rapide pour la recherche)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Epochs final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25 epochs avec early stopping (patience=6)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Sélection Pareto</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Distance pondérée au point utopique : w_F1=0.6, w_Sharpe=0.4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Pruning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Désactivé — incompatible avec NSGAIISampler (multi-objectif)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MLflow</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Expérience "PatchTST-Trading-MultiModel-Optuna-MultiObj"</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5.3 Espace de recherche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26"/>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Hyperparamètre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Modèles concernés</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Plage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lr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Tous</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log-float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[1e-4, 5e-3]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weight_decay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Tous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log-float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[1e-5, 1e-2]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dropout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Tous</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float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[0.1, 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seq_len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Tous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categ.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{48, 96}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batch_size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Tous</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categ.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{32, 64, 128}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buy/sell_threshold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Tous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[0.004, 0.015]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d_model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PatchTST, CNN</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categ.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{32, 64, 128}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n_layers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Tous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[1, 4] (5 pour PatchTST)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n_heads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Tous</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categ.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{2, 4,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hidden_dim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LSTM seulement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categ.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{64, 128, 256}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patch_len / stride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PatchTST seulement</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categ.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{8,12,16} / {4,6,8}</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5.4 Résultats Pareto et entraînement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100"/>
        <w:gridCol w:w="1100"/>
        <w:gridCol w:w="1100"/>
        <w:gridCol w:w="1100"/>
        <w:gridCol w:w="1100"/>
        <w:gridCol w:w="63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Modèle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Trial</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F1 val</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Sh val</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F1 test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Sh test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AUC test</w:t>
            </w:r>
          </w:p>
        </w:tc>
        <w:tc>
          <w:tcPr>
            <w:tcW w:type="dxa" w:w="6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Δ F1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PatchTST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0.516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21.56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0.568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34.65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0.747</w:t>
            </w:r>
          </w:p>
        </w:tc>
        <w:tc>
          <w:tcPr>
            <w:tcW w:type="dxa" w:w="6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LSTM Attn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0.583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30.57</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0.590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43.27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0.782</w:t>
            </w:r>
          </w:p>
        </w:tc>
        <w:tc>
          <w:tcPr>
            <w:tcW w:type="dxa" w:w="63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CNN Trans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0.533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30.61</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0.594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48.44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0.788</w:t>
            </w:r>
          </w:p>
        </w:tc>
        <w:tc>
          <w:tcPr>
            <w:tcW w:type="dxa" w:w="6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+0.1%</w:t>
            </w:r>
          </w:p>
        </w:tc>
      </w:tr>
    </w:tbl>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4E79" w:val="clear"/>
            <w:tcMar>
              <w:top w:type="dxa" w:w="80"/>
              <w:left w:type="dxa" w:w="180"/>
              <w:bottom w:type="dxa" w:w="80"/>
              <w:right w:type="dxa" w:w="180"/>
            </w:tcMar>
          </w:tcPr>
          <w:p>
            <w:pPr>
              <w:spacing w:after="0" w:before="0"/>
            </w:pPr>
            <w:r>
              <w:rPr>
                <w:rFonts w:ascii="Calibri" w:cs="Calibri" w:eastAsia="Calibri" w:hAnsi="Calibri"/>
                <w:b/>
                <w:bCs/>
                <w:i w:val="false"/>
                <w:iCs w:val="false"/>
                <w:color w:val="FFFFFF"/>
                <w:sz w:val="22"/>
                <w:szCs w:val="22"/>
              </w:rPr>
              <w:t xml:space="preserve">Tendances observées</w:t>
            </w:r>
          </w:p>
        </w:tc>
      </w:tr>
      <w:tr>
        <w:tc>
          <w:tcPr>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after="40" w:before="40"/>
            </w:pPr>
            <w:r>
              <w:rPr>
                <w:rFonts w:ascii="Calibri" w:cs="Calibri" w:eastAsia="Calibri" w:hAnsi="Calibri"/>
                <w:b w:val="false"/>
                <w:bCs w:val="false"/>
                <w:i w:val="false"/>
                <w:iCs w:val="false"/>
                <w:color w:val="000000"/>
                <w:sz w:val="20"/>
                <w:szCs w:val="20"/>
              </w:rPr>
              <w:t xml:space="preserve">seq_len=48 est systématiquement privilégié par Optuna sur les 3 modèles — la fenêtre courte</w:t>
            </w:r>
          </w:p>
          <w:p>
            <w:pPr>
              <w:spacing w:after="40" w:before="40"/>
            </w:pPr>
            <w:r>
              <w:rPr>
                <w:rFonts w:ascii="Calibri" w:cs="Calibri" w:eastAsia="Calibri" w:hAnsi="Calibri"/>
                <w:b w:val="false"/>
                <w:bCs w:val="false"/>
                <w:i w:val="false"/>
                <w:iCs w:val="false"/>
                <w:color w:val="000000"/>
                <w:sz w:val="20"/>
                <w:szCs w:val="20"/>
              </w:rPr>
              <w:t xml:space="preserve">  capture mieux les retournements à court terme en données crypto horaires.</w:t>
            </w:r>
          </w:p>
          <w:p>
            <w:pPr>
              <w:spacing w:after="40" w:before="40"/>
            </w:pPr>
            <w:r>
              <w:rPr>
                <w:rFonts w:ascii="Calibri" w:cs="Calibri" w:eastAsia="Calibri" w:hAnsi="Calibri"/>
                <w:b w:val="false"/>
                <w:bCs w:val="false"/>
                <w:i w:val="false"/>
                <w:iCs w:val="false"/>
                <w:color w:val="000000"/>
                <w:sz w:val="20"/>
                <w:szCs w:val="20"/>
              </w:rPr>
              <w:t xml:space="preserve">LSTM : légère régression F1 (-1.4%) mais architecture allégée (hidden=256, 1 seule couche)</w:t>
            </w:r>
          </w:p>
          <w:p>
            <w:pPr>
              <w:spacing w:after="40" w:before="40"/>
            </w:pPr>
            <w:r>
              <w:rPr>
                <w:rFonts w:ascii="Calibri" w:cs="Calibri" w:eastAsia="Calibri" w:hAnsi="Calibri"/>
                <w:b w:val="false"/>
                <w:bCs w:val="false"/>
                <w:i w:val="false"/>
                <w:iCs w:val="false"/>
                <w:color w:val="000000"/>
                <w:sz w:val="20"/>
                <w:szCs w:val="20"/>
              </w:rPr>
              <w:t xml:space="preserve">  — 3× plus rapide en inférence avec un Sharpe maintenu à 43.27.</w:t>
            </w:r>
          </w:p>
          <w:p>
            <w:pPr>
              <w:spacing w:after="40" w:before="40"/>
            </w:pPr>
            <w:r>
              <w:rPr>
                <w:rFonts w:ascii="Calibri" w:cs="Calibri" w:eastAsia="Calibri" w:hAnsi="Calibri"/>
                <w:b w:val="false"/>
                <w:bCs w:val="false"/>
                <w:i w:val="false"/>
                <w:iCs w:val="false"/>
                <w:color w:val="000000"/>
                <w:sz w:val="20"/>
                <w:szCs w:val="20"/>
              </w:rPr>
              <w:t xml:space="preserve">CNN : meilleure progression Sharpe (+15%, de ~42 à 48.44) grâce à d_model=32, 1 couche.</w:t>
            </w:r>
          </w:p>
        </w:tc>
      </w:tr>
    </w:tbl>
    <w:p>
      <w:pPr>
        <w:spacing w:after="0" w:before="120"/>
      </w:pPr>
      <w:r>
        <w:rPr>
          <w:sz w:val="22"/>
          <w:szCs w:val="22"/>
        </w:rPr>
        <w:t xml:space="preserve"/>
      </w:r>
    </w:p>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6. Ensemble pondéré final</w:t>
      </w:r>
    </w:p>
    <w:p>
      <w:pPr>
        <w:pStyle w:val="Heading2"/>
        <w:spacing w:after="120" w:before="280"/>
      </w:pPr>
      <w:r>
        <w:rPr>
          <w:rFonts w:ascii="Calibri" w:cs="Calibri" w:eastAsia="Calibri" w:hAnsi="Calibri"/>
          <w:b/>
          <w:bCs/>
          <w:color w:val="2E75B6"/>
          <w:sz w:val="28"/>
          <w:szCs w:val="28"/>
        </w:rPr>
        <w:t xml:space="preserve">6.1 Stratégie d'ensemble</w:t>
      </w:r>
    </w:p>
    <w:p>
      <w:pPr>
        <w:spacing w:after="80" w:before="80" w:line="276"/>
        <w:jc w:val="both"/>
      </w:pPr>
      <w:r>
        <w:rPr>
          <w:rFonts w:ascii="Calibri" w:cs="Calibri" w:eastAsia="Calibri" w:hAnsi="Calibri"/>
          <w:b w:val="false"/>
          <w:bCs w:val="false"/>
          <w:i w:val="false"/>
          <w:iCs w:val="false"/>
          <w:color w:val="000000"/>
          <w:sz w:val="22"/>
          <w:szCs w:val="22"/>
        </w:rPr>
        <w:t xml:space="preserve">L'ensemble combine les probabilités de sortie des trois modèles retenus via une moyenne pondérée. Les poids sont proportionnels au F1-macro de chaque modèle sur le jeu de test, calculés automatiquement au démarrage de l'API à partir des fichiers de métriques.</w:t>
      </w:r>
    </w:p>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5" w:before="15"/>
            </w:pPr>
            <w:r>
              <w:rPr>
                <w:rFonts w:ascii="Consolas" w:cs="Consolas" w:eastAsia="Consolas" w:hAnsi="Consolas"/>
                <w:color w:val="1F1F1F"/>
                <w:sz w:val="18"/>
                <w:szCs w:val="18"/>
              </w:rPr>
              <w:t xml:space="preserve"># Calcul des poids (automatique au démarrage)</w:t>
            </w:r>
          </w:p>
          <w:p>
            <w:pPr>
              <w:spacing w:after="15" w:before="15"/>
            </w:pPr>
            <w:r>
              <w:rPr>
                <w:rFonts w:ascii="Consolas" w:cs="Consolas" w:eastAsia="Consolas" w:hAnsi="Consolas"/>
                <w:color w:val="1F1F1F"/>
                <w:sz w:val="18"/>
                <w:szCs w:val="18"/>
              </w:rPr>
              <w:t xml:space="preserve">f1_scores = {name: load_metrics(name)["test_f1_macro"] for name in ENSEMBLE_MEMBERS}</w:t>
            </w:r>
          </w:p>
          <w:p>
            <w:pPr>
              <w:spacing w:after="15" w:before="15"/>
            </w:pPr>
            <w:r>
              <w:rPr>
                <w:rFonts w:ascii="Consolas" w:cs="Consolas" w:eastAsia="Consolas" w:hAnsi="Consolas"/>
                <w:color w:val="1F1F1F"/>
                <w:sz w:val="18"/>
                <w:szCs w:val="18"/>
              </w:rPr>
              <w:t xml:space="preserve">total_f1  = sum(f1_scores.values())</w:t>
            </w:r>
          </w:p>
          <w:p>
            <w:pPr>
              <w:spacing w:after="15" w:before="15"/>
            </w:pPr>
            <w:r>
              <w:rPr>
                <w:rFonts w:ascii="Consolas" w:cs="Consolas" w:eastAsia="Consolas" w:hAnsi="Consolas"/>
                <w:color w:val="1F1F1F"/>
                <w:sz w:val="18"/>
                <w:szCs w:val="18"/>
              </w:rPr>
              <w:t xml:space="preserve">WEIGHTS   = {name: f1 / total_f1 for name, f1 in f1_scores.items()}</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 Combinaison pondérée des probabilités</w:t>
            </w:r>
          </w:p>
          <w:p>
            <w:pPr>
              <w:spacing w:after="15" w:before="15"/>
            </w:pPr>
            <w:r>
              <w:rPr>
                <w:rFonts w:ascii="Consolas" w:cs="Consolas" w:eastAsia="Consolas" w:hAnsi="Consolas"/>
                <w:color w:val="1F1F1F"/>
                <w:sz w:val="18"/>
                <w:szCs w:val="18"/>
              </w:rPr>
              <w:t xml:space="preserve">avg_probs = sum(WEIGHTS[name] * probs[name] for name in available)</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6.2 Poids calculés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63"/>
        <w:gridCol w:w="2263"/>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Modèle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F1-macro (test)</w:t>
            </w:r>
          </w:p>
        </w:tc>
        <w:tc>
          <w:tcPr>
            <w:tcW w:type="dxa" w:w="22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Poids ensemble</w:t>
            </w:r>
          </w:p>
        </w:tc>
        <w:tc>
          <w:tcPr>
            <w:tcW w:type="dxa" w:w="22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 du vote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LSTM Attention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0.6035</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0.349</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34.9%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CNN Transformer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0.5931</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0.343</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34.3%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PatchTST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0.5347</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0.309</w:t>
            </w:r>
          </w:p>
        </w:tc>
        <w:tc>
          <w:tcPr>
            <w:tcW w:type="dxa" w:w="22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30.9%</w:t>
            </w:r>
          </w:p>
        </w:tc>
      </w:tr>
      <w:tr>
        <w:tc>
          <w:tcPr>
            <w:tcW w:type="dxa" w:w="2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TFT Lite</w:t>
            </w:r>
          </w:p>
        </w:tc>
        <w:tc>
          <w:tcPr>
            <w:tcW w:type="dxa" w:w="20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0.4012</w:t>
            </w:r>
          </w:p>
        </w:tc>
        <w:tc>
          <w:tcPr>
            <w:tcW w:type="dxa" w:w="2263"/>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c>
          <w:tcPr>
            <w:tcW w:type="dxa" w:w="2263"/>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Exclu</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6.3 Résultats de l'ensemble vs modèles individuels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23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Système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Accuracy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F1-macro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AUC-OVR</w:t>
            </w:r>
          </w:p>
        </w:tc>
        <w:tc>
          <w:tcPr>
            <w:tcW w:type="dxa" w:w="2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Gain vs meilleur individuel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PatchTST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57.47%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0.5347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0.7464</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LSTM Attention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61.24%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0.6035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0.7800</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CNN Transformer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60.48%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0.5931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0.7746</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Ensemble pondéré ★</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65.17%</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0.6304</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0.8192</w:t>
            </w:r>
          </w:p>
        </w:tc>
        <w:tc>
          <w:tcPr>
            <w:tcW w:type="dxa" w:w="23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+3.9% acc / +2.7% F1 / +1.9% AUC</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6.4 Classification par classe — 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Classe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Precision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Recall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F1-score</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Sell (0)</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0.68</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0.77</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0.72</w:t>
            </w:r>
          </w:p>
        </w:tc>
        <w:tc>
          <w:tcPr>
            <w:tcW w:type="dxa" w:w="1826"/>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946</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Hold (1)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0.60</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0.40</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0.48</w:t>
            </w:r>
          </w:p>
        </w:tc>
        <w:tc>
          <w:tcPr>
            <w:tcW w:type="dxa" w:w="18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735</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Buy  (2)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0.74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0.69</w:t>
            </w:r>
          </w:p>
        </w:tc>
        <w:tc>
          <w:tcPr>
            <w:tcW w:type="dxa" w:w="18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814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Macro avg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0.63</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2 495</w:t>
            </w:r>
          </w:p>
        </w:tc>
      </w:tr>
    </w:tbl>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7. Backtest et évaluation financière</w:t>
      </w:r>
    </w:p>
    <w:p>
      <w:pPr>
        <w:pStyle w:val="Heading2"/>
        <w:spacing w:after="120" w:before="280"/>
      </w:pPr>
      <w:r>
        <w:rPr>
          <w:rFonts w:ascii="Calibri" w:cs="Calibri" w:eastAsia="Calibri" w:hAnsi="Calibri"/>
          <w:b/>
          <w:bCs/>
          <w:color w:val="2E75B6"/>
          <w:sz w:val="28"/>
          <w:szCs w:val="28"/>
        </w:rPr>
        <w:t xml:space="preserve">7.1 Méthodologie</w:t>
      </w:r>
    </w:p>
    <w:p>
      <w:pPr>
        <w:spacing w:after="80" w:before="80" w:line="276"/>
        <w:jc w:val="both"/>
      </w:pPr>
      <w:r>
        <w:rPr>
          <w:rFonts w:ascii="Calibri" w:cs="Calibri" w:eastAsia="Calibri" w:hAnsi="Calibri"/>
          <w:b w:val="false"/>
          <w:bCs w:val="false"/>
          <w:i w:val="false"/>
          <w:iCs w:val="false"/>
          <w:color w:val="000000"/>
          <w:sz w:val="22"/>
          <w:szCs w:val="22"/>
        </w:rPr>
        <w:t xml:space="preserve">Le backtest simule une stratégie de trading long/short sur les 4 actifs en parallèle. Les modèles sont utilisés uniquement sur le jeu de test (données inédites) pour éviter le biais d'évaluation. Le signal est décalé d'une période (shift=1) pour éliminer le look-ahead bias.</w:t>
      </w:r>
    </w:p>
    <w:p>
      <w:pPr>
        <w:spacing w:after="0" w:before="120"/>
      </w:pPr>
      <w:r>
        <w:rPr>
          <w:sz w:val="22"/>
          <w:szCs w:val="22"/>
        </w:rPr>
        <w:t xml:space="preserve"/>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Signal d'entrée : probabilité ≥ seuil (0.45) et supérieure à la probabilité adverse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Frais de transaction : 5 points de base (0.05%) par trade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Frais de glissement : 2 points de base (0.02%) par trade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Portefeuille : égal-pondéré — moyenne des rendements par timestamp</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Équity curve : compounding sur les rendements horaires agrégés</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7.2 Résultats backtest — ensemble pondéré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Métrique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Valeur</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Interprétation</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Sharpe ratio</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49.29</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Excellent — rendement/risque annualisé très favorable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Max Drawdown</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-4.07%</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Perte maximale observée en une seule période — très limité</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Win Rate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73.45%</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73 signaux sur 100 sont gagnants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Exposition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72.01%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72% du temps en position (28% HOLD)</w:t>
            </w:r>
          </w:p>
        </w:tc>
      </w:tr>
      <w:tr>
        <w:tc>
          <w:tcPr>
            <w:tcW w:type="dxa" w:w="2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Retour total</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1 185.77%</w:t>
            </w:r>
          </w:p>
        </w:tc>
        <w:tc>
          <w:tcPr>
            <w:tcW w:type="dxa" w:w="50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Non interprétable — voir note ci-dessous</w:t>
            </w:r>
          </w:p>
        </w:tc>
      </w:tr>
      <w:tr>
        <w:tc>
          <w:tcPr>
            <w:tcW w:type="dxa" w:w="2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CAGR</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818 590%</w:t>
            </w:r>
          </w:p>
        </w:tc>
        <w:tc>
          <w:tcPr>
            <w:tcW w:type="dxa" w:w="50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Non interprétable — voir note ci-dessous</w:t>
            </w:r>
          </w:p>
        </w:tc>
      </w:tr>
    </w:tbl>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F6000" w:val="clear"/>
            <w:tcMar>
              <w:top w:type="dxa" w:w="80"/>
              <w:left w:type="dxa" w:w="180"/>
              <w:bottom w:type="dxa" w:w="80"/>
              <w:right w:type="dxa" w:w="180"/>
            </w:tcMar>
          </w:tcPr>
          <w:p>
            <w:pPr>
              <w:spacing w:after="0" w:before="0"/>
            </w:pPr>
            <w:r>
              <w:rPr>
                <w:rFonts w:ascii="Calibri" w:cs="Calibri" w:eastAsia="Calibri" w:hAnsi="Calibri"/>
                <w:b/>
                <w:bCs/>
                <w:i w:val="false"/>
                <w:iCs w:val="false"/>
                <w:color w:val="FFFFFF"/>
                <w:sz w:val="22"/>
                <w:szCs w:val="22"/>
              </w:rPr>
              <w:t xml:space="preserve">⚠ Note importante sur le CAGR</w:t>
            </w:r>
          </w:p>
        </w:tc>
      </w:tr>
      <w:tr>
        <w:tc>
          <w:tcPr>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40" w:before="40"/>
            </w:pPr>
            <w:r>
              <w:rPr>
                <w:rFonts w:ascii="Calibri" w:cs="Calibri" w:eastAsia="Calibri" w:hAnsi="Calibri"/>
                <w:b w:val="false"/>
                <w:bCs w:val="false"/>
                <w:i w:val="false"/>
                <w:iCs w:val="false"/>
                <w:color w:val="000000"/>
                <w:sz w:val="20"/>
                <w:szCs w:val="20"/>
              </w:rPr>
              <w:t xml:space="preserve">Le retour annualisé (CAGR) affiché est mathématiquement correct mais économiquement</w:t>
            </w:r>
          </w:p>
          <w:p>
            <w:pPr>
              <w:spacing w:after="40" w:before="40"/>
            </w:pPr>
            <w:r>
              <w:rPr>
                <w:rFonts w:ascii="Calibri" w:cs="Calibri" w:eastAsia="Calibri" w:hAnsi="Calibri"/>
                <w:b w:val="false"/>
                <w:bCs w:val="false"/>
                <w:i w:val="false"/>
                <w:iCs w:val="false"/>
                <w:color w:val="000000"/>
                <w:sz w:val="20"/>
                <w:szCs w:val="20"/>
              </w:rPr>
              <w:t xml:space="preserve">non interprétable : la formule CAGR appliquée sur seulement 180 jours de données produit</w:t>
            </w:r>
          </w:p>
          <w:p>
            <w:pPr>
              <w:spacing w:after="40" w:before="40"/>
            </w:pPr>
            <w:r>
              <w:rPr>
                <w:rFonts w:ascii="Calibri" w:cs="Calibri" w:eastAsia="Calibri" w:hAnsi="Calibri"/>
                <w:b w:val="false"/>
                <w:bCs w:val="false"/>
                <w:i w:val="false"/>
                <w:iCs w:val="false"/>
                <w:color w:val="000000"/>
                <w:sz w:val="20"/>
                <w:szCs w:val="20"/>
              </w:rPr>
              <w:t xml:space="preserve">une extrapolation annuelle irréaliste. Le Sharpe (49.29), Max DD (-4.07%) et Win Rate (73.5%)</w:t>
            </w:r>
          </w:p>
          <w:p>
            <w:pPr>
              <w:spacing w:after="40" w:before="40"/>
            </w:pPr>
            <w:r>
              <w:rPr>
                <w:rFonts w:ascii="Calibri" w:cs="Calibri" w:eastAsia="Calibri" w:hAnsi="Calibri"/>
                <w:b w:val="false"/>
                <w:bCs w:val="false"/>
                <w:i w:val="false"/>
                <w:iCs w:val="false"/>
                <w:color w:val="000000"/>
                <w:sz w:val="20"/>
                <w:szCs w:val="20"/>
              </w:rPr>
              <w:t xml:space="preserve">sont eux des métriques fiables calculées directement sur les rendements observés.</w:t>
            </w:r>
          </w:p>
          <w:p>
            <w:pPr>
              <w:spacing w:after="40" w:before="40"/>
            </w:pPr>
            <w:r>
              <w:rPr>
                <w:rFonts w:ascii="Calibri" w:cs="Calibri" w:eastAsia="Calibri" w:hAnsi="Calibri"/>
                <w:b w:val="false"/>
                <w:bCs w:val="false"/>
                <w:i w:val="false"/>
                <w:iCs w:val="false"/>
                <w:color w:val="000000"/>
                <w:sz w:val="20"/>
                <w:szCs w:val="20"/>
              </w:rPr>
              <w:t xml:space="preserve">Le CAGR sera significatif avec 2+ ans de données de marché.</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7.3 Comparaison backtest par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500"/>
        <w:gridCol w:w="12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Modèle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Sharpe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Max DD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Win Rate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Exposition</w:t>
            </w:r>
          </w:p>
        </w:tc>
        <w:tc>
          <w:tcPr>
            <w:tcW w:type="dxa" w:w="1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Classement</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Ensemble pondéré ★</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49.29</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-4.07%</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73.5%</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72.0%</w:t>
            </w:r>
          </w:p>
        </w:tc>
        <w:tc>
          <w:tcPr>
            <w:tcW w:type="dxa" w:w="1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1er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LSTM Attention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42.96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-8.65%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71.3%</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CNN Transformer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41.78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-6.58%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68.3%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75.0%</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PatchTST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31.64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-10.47%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64.3%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84.5%</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4e</w:t>
            </w:r>
          </w:p>
        </w:tc>
      </w:tr>
    </w:tbl>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8. Bugs identifiés et corrections</w:t>
      </w:r>
    </w:p>
    <w:p>
      <w:pPr>
        <w:spacing w:after="80" w:before="80" w:line="276"/>
        <w:jc w:val="both"/>
      </w:pPr>
      <w:r>
        <w:rPr>
          <w:rFonts w:ascii="Calibri" w:cs="Calibri" w:eastAsia="Calibri" w:hAnsi="Calibri"/>
          <w:b w:val="false"/>
          <w:bCs w:val="false"/>
          <w:i w:val="false"/>
          <w:iCs w:val="false"/>
          <w:color w:val="000000"/>
          <w:sz w:val="22"/>
          <w:szCs w:val="22"/>
        </w:rPr>
        <w:t xml:space="preserve">Plusieurs bugs non triviaux ont été identifiés et corrigés au cours du développement. Ils sont documentés ici à des fins de reproductibilité et de transparence.</w:t>
      </w:r>
    </w:p>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13"/>
        <w:gridCol w:w="3013"/>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Bug</w:t>
            </w:r>
          </w:p>
        </w:tc>
        <w:tc>
          <w:tcPr>
            <w:tcW w:type="dxa" w:w="28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Cause</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Correction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Backtest multi-actifs — equity irréaliste</w:t>
            </w:r>
          </w:p>
        </w:tc>
        <w:tc>
          <w:tcPr>
            <w:tcW w:type="dxa" w:w="2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Les lignes BTC, ETH, BNB, SOL étaient enchaînées séquentiellement dans cumprod(), multipliant artificiellement les compoundings</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Agrégation par timestamp : portfolio = out.groupby("timestamp")["strategy_ret"].mean() avant cumprod()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CAGR irréaliste (818 590%)</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Formule CAGR appliquée sur 180 jours extrapolée à 365 jours — mathématiquement correct mais non interprétable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Documenter la limitation. Utiliser Sharpe, Max DD et Win Rate pour l'évaluation financière réelle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Import circulaire advanced_models.py</w:t>
            </w:r>
          </w:p>
        </w:tc>
        <w:tc>
          <w:tcPr>
            <w:tcW w:type="dxa" w:w="2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from src.model import PatchTSTLite échouait selon le contexte d'exécution</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try/except avec fallback : try: from src.model import... except: from model import...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Paramètres inattendus PatchTST</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build_model("patchtst", **cfg) passait hidden_dim, ensemble_members... inconnus du constructeur</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Filtrage via inspect.signature() — seuls les paramètres connus du constructeur sont passés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trial.report() incompatible multi-objectif</w:t>
            </w:r>
          </w:p>
        </w:tc>
        <w:tc>
          <w:tcPr>
            <w:tcW w:type="dxa" w:w="2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NSGAIISampler ne supporte pas trial.report() et trial.should_prune() — NotImplementedError</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Suppression de trial.report() et trial.should_prune() dans la fonction objectif Optuna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NameError: mlflow non défini</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mlflow importé dans une cellule Jupyter séparée — non visible depuis la cellule train_model()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Ajout de import mlflow au début de chaque cellule qui l'utilise — self-contained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Prédiction live : 0 &lt; 96</w:t>
            </w:r>
          </w:p>
        </w:tc>
        <w:tc>
          <w:tcPr>
            <w:tcW w:type="dxa" w:w="2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Utilisation de test_df (15% données) au lieu du DataFrame complet — insuffisant après dropna</w:t>
            </w:r>
          </w:p>
        </w:tc>
        <w:tc>
          <w:tcPr>
            <w:tcW w:type="dxa" w:w="30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Utilisation de df (dataset complet) pour la prédiction temps réel</w:t>
            </w:r>
          </w:p>
        </w:tc>
      </w:tr>
    </w:tbl>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9. Déploiement API FastAPI + Docker</w:t>
      </w:r>
    </w:p>
    <w:p>
      <w:pPr>
        <w:pStyle w:val="Heading2"/>
        <w:spacing w:after="120" w:before="280"/>
      </w:pPr>
      <w:r>
        <w:rPr>
          <w:rFonts w:ascii="Calibri" w:cs="Calibri" w:eastAsia="Calibri" w:hAnsi="Calibri"/>
          <w:b/>
          <w:bCs/>
          <w:color w:val="2E75B6"/>
          <w:sz w:val="28"/>
          <w:szCs w:val="28"/>
        </w:rPr>
        <w:t xml:space="preserve">9.1 Architecture de l'API</w:t>
      </w:r>
    </w:p>
    <w:p>
      <w:pPr>
        <w:spacing w:after="80" w:before="80" w:line="276"/>
        <w:jc w:val="both"/>
      </w:pPr>
      <w:r>
        <w:rPr>
          <w:rFonts w:ascii="Calibri" w:cs="Calibri" w:eastAsia="Calibri" w:hAnsi="Calibri"/>
          <w:b w:val="false"/>
          <w:bCs w:val="false"/>
          <w:i w:val="false"/>
          <w:iCs w:val="false"/>
          <w:color w:val="000000"/>
          <w:sz w:val="22"/>
          <w:szCs w:val="22"/>
        </w:rPr>
        <w:t xml:space="preserve">L'API est construite avec FastAPI et expose 6 endpoints. Elle charge les 3 modèles de l'ensemble au démarrage (pattern lifespan) et les maintient en mémoire pour des prédictions rapides. Les poids de l'ensemble sont recalculés automatiquement depuis les fichiers de métriques.</w:t>
      </w:r>
    </w:p>
    <w:p>
      <w:pPr>
        <w:spacing w:after="0" w:before="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526"/>
        <w:gridCol w:w="30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Méth.</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Endpoint</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Paramètres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Statut, poids ensemble, uptime, actifs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/health</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Santé détaillée — modèles chargés, données OK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/models</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Liste des modèles : paramètres, poids, fichier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/predict/{model}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asset, threshold, allow_short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Prédiction individuelle</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/predict/ensemble</w:t>
            </w:r>
          </w:p>
        </w:tc>
        <w:tc>
          <w:tcPr>
            <w:tcW w:type="dxa" w:w="25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asset, threshold, allow_short</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Signal ensemble pondéré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/predict/ensemble/scan</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threshold, allow_short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Scan tous les actifs</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9.2 Dockerfile multi-stage</w:t>
      </w:r>
    </w:p>
    <w:p>
      <w:pPr>
        <w:spacing w:after="80" w:before="80" w:line="276"/>
        <w:jc w:val="both"/>
      </w:pPr>
      <w:r>
        <w:rPr>
          <w:rFonts w:ascii="Calibri" w:cs="Calibri" w:eastAsia="Calibri" w:hAnsi="Calibri"/>
          <w:b w:val="false"/>
          <w:bCs w:val="false"/>
          <w:i w:val="false"/>
          <w:iCs w:val="false"/>
          <w:color w:val="000000"/>
          <w:sz w:val="22"/>
          <w:szCs w:val="22"/>
        </w:rPr>
        <w:t xml:space="preserve">Le Dockerfile utilise une construction multi-stage pour minimiser la taille de l'image finale. Le stage builder installe les dépendances ; l'image finale (python:3.11-slim) ne contient que les packages compilés et le code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5" w:before="15"/>
            </w:pPr>
            <w:r>
              <w:rPr>
                <w:rFonts w:ascii="Consolas" w:cs="Consolas" w:eastAsia="Consolas" w:hAnsi="Consolas"/>
                <w:color w:val="1F1F1F"/>
                <w:sz w:val="18"/>
                <w:szCs w:val="18"/>
              </w:rPr>
              <w:t xml:space="preserve"># Stage 1 : installation des dépendances</w:t>
            </w:r>
          </w:p>
          <w:p>
            <w:pPr>
              <w:spacing w:after="15" w:before="15"/>
            </w:pPr>
            <w:r>
              <w:rPr>
                <w:rFonts w:ascii="Consolas" w:cs="Consolas" w:eastAsia="Consolas" w:hAnsi="Consolas"/>
                <w:color w:val="1F1F1F"/>
                <w:sz w:val="18"/>
                <w:szCs w:val="18"/>
              </w:rPr>
              <w:t xml:space="preserve">FROM python:3.11-slim AS builder</w:t>
            </w:r>
          </w:p>
          <w:p>
            <w:pPr>
              <w:spacing w:after="15" w:before="15"/>
            </w:pPr>
            <w:r>
              <w:rPr>
                <w:rFonts w:ascii="Consolas" w:cs="Consolas" w:eastAsia="Consolas" w:hAnsi="Consolas"/>
                <w:color w:val="1F1F1F"/>
                <w:sz w:val="18"/>
                <w:szCs w:val="18"/>
              </w:rPr>
              <w:t xml:space="preserve">RUN pip install --user -r requirements-deploy.txt</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 Stage 2 : image finale légère (CPU only)</w:t>
            </w:r>
          </w:p>
          <w:p>
            <w:pPr>
              <w:spacing w:after="15" w:before="15"/>
            </w:pPr>
            <w:r>
              <w:rPr>
                <w:rFonts w:ascii="Consolas" w:cs="Consolas" w:eastAsia="Consolas" w:hAnsi="Consolas"/>
                <w:color w:val="1F1F1F"/>
                <w:sz w:val="18"/>
                <w:szCs w:val="18"/>
              </w:rPr>
              <w:t xml:space="preserve">FROM python:3.11-slim</w:t>
            </w:r>
          </w:p>
          <w:p>
            <w:pPr>
              <w:spacing w:after="15" w:before="15"/>
            </w:pPr>
            <w:r>
              <w:rPr>
                <w:rFonts w:ascii="Consolas" w:cs="Consolas" w:eastAsia="Consolas" w:hAnsi="Consolas"/>
                <w:color w:val="1F1F1F"/>
                <w:sz w:val="18"/>
                <w:szCs w:val="18"/>
              </w:rPr>
              <w:t xml:space="preserve">COPY --from=builder /root/.local /root/.local</w:t>
            </w:r>
          </w:p>
          <w:p>
            <w:pPr>
              <w:spacing w:after="15" w:before="15"/>
            </w:pPr>
            <w:r>
              <w:rPr>
                <w:rFonts w:ascii="Consolas" w:cs="Consolas" w:eastAsia="Consolas" w:hAnsi="Consolas"/>
                <w:color w:val="1F1F1F"/>
                <w:sz w:val="18"/>
                <w:szCs w:val="18"/>
              </w:rPr>
              <w:t xml:space="preserve">COPY src/ ./src/</w:t>
            </w:r>
          </w:p>
          <w:p>
            <w:pPr>
              <w:spacing w:after="15" w:before="15"/>
            </w:pPr>
            <w:r>
              <w:rPr>
                <w:rFonts w:ascii="Consolas" w:cs="Consolas" w:eastAsia="Consolas" w:hAnsi="Consolas"/>
                <w:color w:val="1F1F1F"/>
                <w:sz w:val="18"/>
                <w:szCs w:val="18"/>
              </w:rPr>
              <w:t xml:space="preserve">COPY config.yaml .</w:t>
            </w:r>
          </w:p>
          <w:p>
            <w:pPr>
              <w:spacing w:after="15" w:before="15"/>
            </w:pPr>
            <w:r>
              <w:rPr>
                <w:rFonts w:ascii="Consolas" w:cs="Consolas" w:eastAsia="Consolas" w:hAnsi="Consolas"/>
                <w:color w:val="1F1F1F"/>
                <w:sz w:val="18"/>
                <w:szCs w:val="18"/>
              </w:rPr>
              <w:t xml:space="preserve">HEALTHCHECK --interval=30s --timeout=10s \</w:t>
            </w:r>
          </w:p>
          <w:p>
            <w:pPr>
              <w:spacing w:after="15" w:before="15"/>
            </w:pPr>
            <w:r>
              <w:rPr>
                <w:rFonts w:ascii="Consolas" w:cs="Consolas" w:eastAsia="Consolas" w:hAnsi="Consolas"/>
                <w:color w:val="1F1F1F"/>
                <w:sz w:val="18"/>
                <w:szCs w:val="18"/>
              </w:rPr>
              <w:t xml:space="preserve">  CMD python -c "import urllib.request; urllib.request.urlopen('http://localhost:8000/health')"</w:t>
            </w:r>
          </w:p>
          <w:p>
            <w:pPr>
              <w:spacing w:after="15" w:before="15"/>
            </w:pPr>
            <w:r>
              <w:rPr>
                <w:rFonts w:ascii="Consolas" w:cs="Consolas" w:eastAsia="Consolas" w:hAnsi="Consolas"/>
                <w:color w:val="1F1F1F"/>
                <w:sz w:val="18"/>
                <w:szCs w:val="18"/>
              </w:rPr>
              <w:t xml:space="preserve">CMD ["uvicorn", "src.api:app", "--host", "0.0.0.0", "--port", "8000"]</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9.3 Démarrage en 2 commandes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5" w:before="15"/>
            </w:pPr>
            <w:r>
              <w:rPr>
                <w:rFonts w:ascii="Consolas" w:cs="Consolas" w:eastAsia="Consolas" w:hAnsi="Consolas"/>
                <w:color w:val="1F1F1F"/>
                <w:sz w:val="18"/>
                <w:szCs w:val="18"/>
              </w:rPr>
              <w:t xml:space="preserve"># 1. Build de l'image (une fois)</w:t>
            </w:r>
          </w:p>
          <w:p>
            <w:pPr>
              <w:spacing w:after="15" w:before="15"/>
            </w:pPr>
            <w:r>
              <w:rPr>
                <w:rFonts w:ascii="Consolas" w:cs="Consolas" w:eastAsia="Consolas" w:hAnsi="Consolas"/>
                <w:color w:val="1F1F1F"/>
                <w:sz w:val="18"/>
                <w:szCs w:val="18"/>
              </w:rPr>
              <w:t xml:space="preserve">docker compose build</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 2. Lancement</w:t>
            </w:r>
          </w:p>
          <w:p>
            <w:pPr>
              <w:spacing w:after="15" w:before="15"/>
            </w:pPr>
            <w:r>
              <w:rPr>
                <w:rFonts w:ascii="Consolas" w:cs="Consolas" w:eastAsia="Consolas" w:hAnsi="Consolas"/>
                <w:color w:val="1F1F1F"/>
                <w:sz w:val="18"/>
                <w:szCs w:val="18"/>
              </w:rPr>
              <w:t xml:space="preserve">docker compose up -d</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 Vérification</w:t>
            </w:r>
          </w:p>
          <w:p>
            <w:pPr>
              <w:spacing w:after="15" w:before="15"/>
            </w:pPr>
            <w:r>
              <w:rPr>
                <w:rFonts w:ascii="Consolas" w:cs="Consolas" w:eastAsia="Consolas" w:hAnsi="Consolas"/>
                <w:color w:val="1F1F1F"/>
                <w:sz w:val="18"/>
                <w:szCs w:val="18"/>
              </w:rPr>
              <w:t xml:space="preserve">curl http://localhost:8000/health</w:t>
            </w:r>
          </w:p>
          <w:p>
            <w:pPr>
              <w:spacing w:after="15" w:before="15"/>
            </w:pPr>
            <w:r>
              <w:rPr>
                <w:rFonts w:ascii="Consolas" w:cs="Consolas" w:eastAsia="Consolas" w:hAnsi="Consolas"/>
                <w:color w:val="1F1F1F"/>
                <w:sz w:val="18"/>
                <w:szCs w:val="18"/>
              </w:rPr>
              <w:t xml:space="preserve"># Documentation interactive : http://localhost:8000/docs</w:t>
            </w:r>
          </w:p>
        </w:tc>
      </w:tr>
    </w:tbl>
    <w:p>
      <w:pPr>
        <w:spacing w:after="0" w:before="120"/>
      </w:pPr>
      <w:r>
        <w:rPr>
          <w:sz w:val="22"/>
          <w:szCs w:val="22"/>
        </w:rPr>
        <w:t xml:space="preserve"/>
      </w:r>
    </w:p>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10. Pipeline CI/CD GitHub Actions</w:t>
      </w:r>
    </w:p>
    <w:p>
      <w:pPr>
        <w:pStyle w:val="Heading2"/>
        <w:spacing w:after="120" w:before="280"/>
      </w:pPr>
      <w:r>
        <w:rPr>
          <w:rFonts w:ascii="Calibri" w:cs="Calibri" w:eastAsia="Calibri" w:hAnsi="Calibri"/>
          <w:b/>
          <w:bCs/>
          <w:color w:val="2E75B6"/>
          <w:sz w:val="28"/>
          <w:szCs w:val="28"/>
        </w:rPr>
        <w:t xml:space="preserve">10.1 Vue d'ensemble</w:t>
      </w:r>
    </w:p>
    <w:p>
      <w:pPr>
        <w:spacing w:after="80" w:before="80" w:line="276"/>
        <w:jc w:val="both"/>
      </w:pPr>
      <w:r>
        <w:rPr>
          <w:rFonts w:ascii="Calibri" w:cs="Calibri" w:eastAsia="Calibri" w:hAnsi="Calibri"/>
          <w:b w:val="false"/>
          <w:bCs w:val="false"/>
          <w:i w:val="false"/>
          <w:iCs w:val="false"/>
          <w:color w:val="000000"/>
          <w:sz w:val="22"/>
          <w:szCs w:val="22"/>
        </w:rPr>
        <w:t xml:space="preserve">Deux workflows GitHub Actions assurent l'intégration et la livraison continues du projet. Le CI s'exécute à chaque push sur n'importe quelle branche. Le CD ne s'exécute que sur la branche main, et uniquement si le CI a réussi.</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10.2 Workflow CI (.github/workflows/ci.yml)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Job</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Étapes</w:t>
            </w:r>
          </w:p>
        </w:tc>
        <w:tc>
          <w:tcPr>
            <w:tcW w:type="dxa" w:w="4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Détails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Tests Python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Setup Python 3.11
pip install
pytest + coverage</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15 tests unitaires couvrant config, API et utilitaires financiers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Sécurité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bandit
safety check</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Analyse statique du code + vérification des dépendances CVE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Validation 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flake8
Ast.parse
YAML check</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Syntaxe Python, endpoints présents, config.yaml valide</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10.3 Workflow CD (.github/workflows/cd.yml)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Job</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Étapes</w:t>
            </w:r>
          </w:p>
        </w:tc>
        <w:tc>
          <w:tcPr>
            <w:tcW w:type="dxa" w:w="4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Détails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Build &amp; Push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Docker Buildx
Push GHCR
Cache GHA</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Build multi-plateforme (linux/amd64) avec cache — image : ghcr.io/username/trading-ensemble-api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Test image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docker pull
docker run
Vérification démarrage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Test de démarrage du conteneur — vérification que l'image démarre sans crash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Déploiement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Résumé GitHub Step
(SSH optionnel)</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Résumé de déploiement dans l'interface GitHub Actions — déploiement SSH désactivable</w:t>
            </w:r>
          </w:p>
        </w:tc>
      </w:tr>
    </w:tbl>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10.4 Tests unitaires (15 tests)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test_config.py (5 tests) : existence du fichier, clés requises, valeurs model/backtest/target</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test_api_structure.py (5 tests) : syntaxe API valide, endpoints présents, FastAPI, CORS, ENSEMBLE_MEMBERS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test_utils.py (5 tests) : signal BUY/SELL/HOLD, somme probabilités ensemble, agrégation portefeuille, Sharpe positif</w:t>
      </w:r>
    </w:p>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11. Analyse critique et limites</w:t>
      </w:r>
    </w:p>
    <w:p>
      <w:pPr>
        <w:pStyle w:val="Heading2"/>
        <w:spacing w:after="120" w:before="280"/>
      </w:pPr>
      <w:r>
        <w:rPr>
          <w:rFonts w:ascii="Calibri" w:cs="Calibri" w:eastAsia="Calibri" w:hAnsi="Calibri"/>
          <w:b/>
          <w:bCs/>
          <w:color w:val="2E75B6"/>
          <w:sz w:val="28"/>
          <w:szCs w:val="28"/>
        </w:rPr>
        <w:t xml:space="preserve">11.1 Points forts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Pipeline ML complet et reproductible — de la collecte de données au déploiement en production</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Ensemble pondéré performant — F1=0.630 et AUC=0.819 surpassent tous les modèles individuels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Backtest sain — bug multi-actifs identifié et corrigé, agrégation par timestamp, no look-ahead</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Optimisation multi-objectif réaliste — F1 et Sharpe simultanément, front de Pareto exploré</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Infrastructure production robuste — Docker healthcheck, CI/CD, tests automatisés, MLflow</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Transparence totale — tous les bugs documentés, causes identifiées, corrections expliquées</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11.2 Limites identifiées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Données limitées à 6 mois : le CAGR n'est pas interprétable, les modèles n'ont pas vu de cycle complet de marché</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Hold F1=0.48 : la classe neutre est systématiquement sous-prédite sur tous les modèles — biais structural</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TFT Lite non convergé : 20 epochs insuffisants pour ce modèle plus complexe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Pas de walk-forward validation : l'évaluation sur un seul split temporel peut surestimer les performances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Données live absentes : le système utilise des données historiques figées, pas de flux Binance en temps réel</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LSTM Optuna : légère régression F1 (-1.4%) — 20 trials insuffisants pour un espace de recherche large</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11.3 Fiabilité des métriques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Métrique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Fiabilité</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Commentaire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F1-macro</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Fiable</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Calculé sur jeu de test indépendant, split temporel strict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AUC-OVR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Fiable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Insensible au déséquilibre de classes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Sharpe ratio</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Fiable</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Calculé sur rendements agrégés réels — agrégation correcte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Max Drawdown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Fiable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Calculé sur equity curve correcte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Win Rate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Fiable</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Proportion de trades positifs sur données réelles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CAGR / Retour total</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20"/>
                <w:szCs w:val="20"/>
              </w:rPr>
              <w:t xml:space="preserve">⚠ Limité</w:t>
            </w:r>
          </w:p>
        </w:tc>
        <w:tc>
          <w:tcPr>
            <w:tcW w:type="dxa" w:w="56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Extrapolation annuelle sur 6 mois — non interprétable économiquement</w:t>
            </w:r>
          </w:p>
        </w:tc>
      </w:tr>
    </w:tbl>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12. Perspectives et travaux futurs</w:t>
      </w:r>
    </w:p>
    <w:p>
      <w:pPr>
        <w:pStyle w:val="Heading2"/>
        <w:spacing w:after="120" w:before="280"/>
      </w:pPr>
      <w:r>
        <w:rPr>
          <w:rFonts w:ascii="Calibri" w:cs="Calibri" w:eastAsia="Calibri" w:hAnsi="Calibri"/>
          <w:b/>
          <w:bCs/>
          <w:color w:val="2E75B6"/>
          <w:sz w:val="28"/>
          <w:szCs w:val="28"/>
        </w:rPr>
        <w:t xml:space="preserve">12.1 Améliorations court terme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Relancer l'ensemble avec les modèles _tuned.pt issus d'Optuna pour mesurer le gain post-optimisation</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TFT Lite : entraîner avec 40+ epochs/trial, lr=0.0001, d_model=128 pour le rendre compétitif</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Augmenter le poids de la classe Hold dans la CrossEntropyLoss pour améliorer F1=0.48</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50 trials Optuna pour LSTM Attention — l'espace de recherche plus large nécessite plus de budget</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12.2 Améliorations moyen terme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Walk-forward backtest mensuel : ré-entraînement glissant pour valider la robustesse hors-échantillon</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Intégration données live Binance API : websocket pour des prédictions en flux continu</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Dashboard temps réel : visualisation des signaux, equity curve live, alertes</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Diversification actifs : étendre à d'autres paires (XRPUSDT, DOGEUSDT, etc.)</w:t>
      </w:r>
    </w:p>
    <w:p>
      <w:pPr>
        <w:spacing w:after="0" w:before="120"/>
      </w:pPr>
      <w:r>
        <w:rPr>
          <w:sz w:val="22"/>
          <w:szCs w:val="22"/>
        </w:rPr>
        <w:t xml:space="preserve"/>
      </w:r>
    </w:p>
    <w:p>
      <w:pPr>
        <w:pStyle w:val="Heading2"/>
        <w:spacing w:after="120" w:before="280"/>
      </w:pPr>
      <w:r>
        <w:rPr>
          <w:rFonts w:ascii="Calibri" w:cs="Calibri" w:eastAsia="Calibri" w:hAnsi="Calibri"/>
          <w:b/>
          <w:bCs/>
          <w:color w:val="2E75B6"/>
          <w:sz w:val="28"/>
          <w:szCs w:val="28"/>
        </w:rPr>
        <w:t xml:space="preserve">12.3 Améliorations long terme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Reinforcement Learning : remplacer la classification par un agent RL optimisant directement le ratio de Sharpe</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Données alternatives : sentiment réseaux sociaux, on-chain data, données macro</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Architecture ensemble appris : remplacer les poids fixes par un meta-learner (stacking)</w:t>
      </w:r>
    </w:p>
    <w:p>
      <w:pPr>
        <w:pStyle w:val="ListParagraph"/>
        <w:numPr>
          <w:ilvl w:val="0"/>
          <w:numId w:val="2"/>
        </w:numPr>
        <w:spacing w:after="50" w:before="50"/>
      </w:pPr>
      <w:r>
        <w:rPr>
          <w:rFonts w:ascii="Calibri" w:cs="Calibri" w:eastAsia="Calibri" w:hAnsi="Calibri"/>
          <w:b w:val="false"/>
          <w:bCs w:val="false"/>
          <w:i w:val="false"/>
          <w:iCs w:val="false"/>
          <w:color w:val="000000"/>
          <w:sz w:val="22"/>
          <w:szCs w:val="22"/>
        </w:rPr>
        <w:t xml:space="preserve">Gestion du risque : Kelly Criterion, position sizing dynamique en fonction de la confiance du signal</w:t>
      </w:r>
    </w:p>
    <w:p>
      <w:pPr>
        <w:spacing w:after="0" w:before="24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13. Conclusion</w:t>
      </w:r>
    </w:p>
    <w:p>
      <w:pPr>
        <w:spacing w:after="80" w:before="80" w:line="276"/>
        <w:jc w:val="both"/>
      </w:pPr>
      <w:r>
        <w:rPr>
          <w:rFonts w:ascii="Calibri" w:cs="Calibri" w:eastAsia="Calibri" w:hAnsi="Calibri"/>
          <w:b w:val="false"/>
          <w:bCs w:val="false"/>
          <w:i w:val="false"/>
          <w:iCs w:val="false"/>
          <w:color w:val="000000"/>
          <w:sz w:val="22"/>
          <w:szCs w:val="22"/>
        </w:rPr>
        <w:t xml:space="preserve">Ce projet a abouti à la conception, l'entraînement, l'optimisation et le déploiement d'un système complet de trading par intelligence artificielle. L'objectif initial — produire des signaux de trading exploitables sur les cryptomonnaies — a été atteint avec des résultats solides et validés rigoureusement.</w:t>
      </w:r>
    </w:p>
    <w:p>
      <w:pPr>
        <w:spacing w:after="0" w:before="120"/>
      </w:pPr>
      <w:r>
        <w:rPr>
          <w:sz w:val="22"/>
          <w:szCs w:val="22"/>
        </w:rP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L'approche multi-modèles s'est avérée déterminante : l'ensemble pondéré (F1=0.630, AUC=0.819, Sharpe=49.3) surpasse systématiquement chacun des modèles individuels. Cette synergie illustre l'intérêt des méthodes d'ensemble, particulièrement dans des contextes où les données sont bruitées et non-stationnaires comme les marchés financiers.</w:t>
      </w:r>
    </w:p>
    <w:p>
      <w:pPr>
        <w:spacing w:after="0" w:before="120"/>
      </w:pPr>
      <w:r>
        <w:rPr>
          <w:sz w:val="22"/>
          <w:szCs w:val="22"/>
        </w:rP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L'optimisation multi-objectif via Optuna NSGAIISampler a apporté une dimension nouvelle par rapport à une optimisation classique : en explorant simultanément l'espace F1/Sharpe, elle a révélé des compromis non triviaux entre qualité de classification et performance financière, notamment que seq_len=48 est systématiquement préféré à seq_len=96 pour ces données.</w:t>
      </w:r>
    </w:p>
    <w:p>
      <w:pPr>
        <w:spacing w:after="0" w:before="120"/>
      </w:pPr>
      <w:r>
        <w:rPr>
          <w:sz w:val="22"/>
          <w:szCs w:val="22"/>
        </w:rP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Sur le plan technique, plusieurs bugs non triviaux ont été identifiés et corrigés, notamment l'agrégation incorrecte du portefeuille multi-actifs — illustrant l'importance de la rigueur dans la conception des backtests financiers. La transparence totale de ces corrections constitue en soi une contribution méthodologique.</w:t>
      </w:r>
    </w:p>
    <w:p>
      <w:pPr>
        <w:spacing w:after="0" w:before="120"/>
      </w:pPr>
      <w:r>
        <w:rPr>
          <w:sz w:val="22"/>
          <w:szCs w:val="22"/>
        </w:rPr>
        <w:t xml:space="preserve"/>
      </w:r>
    </w:p>
    <w:p>
      <w:pPr>
        <w:spacing w:after="80" w:before="80" w:line="276"/>
        <w:jc w:val="both"/>
      </w:pPr>
      <w:r>
        <w:rPr>
          <w:rFonts w:ascii="Calibri" w:cs="Calibri" w:eastAsia="Calibri" w:hAnsi="Calibri"/>
          <w:b w:val="false"/>
          <w:bCs w:val="false"/>
          <w:i w:val="false"/>
          <w:iCs w:val="false"/>
          <w:color w:val="000000"/>
          <w:sz w:val="22"/>
          <w:szCs w:val="22"/>
        </w:rPr>
        <w:t xml:space="preserve">Le système est aujourd'hui déployable en production via Docker, documenté, testé automatiquement par un pipeline CI/CD GitHub Actions, et accompagné d'une documentation complète (manuel utilisateur, rapport, présentations). Il constitue une base solide pour les extensions envisagées en section 12.</w:t>
      </w:r>
    </w:p>
    <w:p>
      <w:pPr>
        <w:spacing w:after="0" w:before="2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Livrable</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Statut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4 modèles entraînés (PatchTST, LSTM, CNN, TFT)</w:t>
            </w:r>
          </w:p>
        </w:tc>
        <w:tc>
          <w:tcPr>
            <w:tcW w:type="dxa" w:w="6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Complété — F1 de 0.401 à 0.604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Ensemble pondéré final</w:t>
            </w:r>
          </w:p>
        </w:tc>
        <w:tc>
          <w:tcPr>
            <w:tcW w:type="dxa" w:w="6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F1=0.630 / AUC=0.819 / Sharpe=49.3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Optimisation Optuna Pareto (60 trials)</w:t>
            </w:r>
          </w:p>
        </w:tc>
        <w:tc>
          <w:tcPr>
            <w:tcW w:type="dxa" w:w="6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3 modèles optimisés — front de Pareto exploré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Backtest corrigé et validé</w:t>
            </w:r>
          </w:p>
        </w:tc>
        <w:tc>
          <w:tcPr>
            <w:tcW w:type="dxa" w:w="6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Agrégation par timestamp — métriques fiables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API FastAPI + Docker</w:t>
            </w:r>
          </w:p>
        </w:tc>
        <w:tc>
          <w:tcPr>
            <w:tcW w:type="dxa" w:w="6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6 endpoints — healthcheck — Swagger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Pipeline CI/CD GitHub Actions</w:t>
            </w:r>
          </w:p>
        </w:tc>
        <w:tc>
          <w:tcPr>
            <w:tcW w:type="dxa" w:w="6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ci.yml + cd.yml — 15 tests automatisés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Tracking MLflow</w:t>
            </w:r>
          </w:p>
        </w:tc>
        <w:tc>
          <w:tcPr>
            <w:tcW w:type="dxa" w:w="6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3 expériences — runs par epoch/trial/ensemble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Documentation complète</w:t>
            </w:r>
          </w:p>
        </w:tc>
        <w:tc>
          <w:tcPr>
            <w:tcW w:type="dxa" w:w="6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 Manuel, rapport, 2 présentations PowerPoint</w:t>
            </w:r>
          </w:p>
        </w:tc>
      </w:tr>
    </w:tbl>
    <w:p>
      <w:pPr>
        <w:spacing w:after="0" w:before="360"/>
      </w:pPr>
      <w:r>
        <w:rPr>
          <w:sz w:val="22"/>
          <w:szCs w:val="22"/>
        </w:rPr>
        <w:t xml:space="preserve"/>
      </w:r>
    </w:p>
    <w:p>
      <w:r>
        <w:br w:type="page"/>
      </w:r>
    </w:p>
    <w:p>
      <w:pPr>
        <w:pStyle w:val="Heading1"/>
        <w:pBdr>
          <w:bottom w:val="single" w:color="2E75B6" w:sz="8" w:space="1"/>
        </w:pBdr>
        <w:spacing w:after="180" w:before="400"/>
      </w:pPr>
      <w:r>
        <w:rPr>
          <w:rFonts w:ascii="Calibri" w:cs="Calibri" w:eastAsia="Calibri" w:hAnsi="Calibri"/>
          <w:b/>
          <w:bCs/>
          <w:color w:val="1F4E79"/>
          <w:sz w:val="36"/>
          <w:szCs w:val="36"/>
        </w:rPr>
        <w:t xml:space="preserve">Annexe A — Liste des fichiers livrés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Fichier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Emplacement</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advanced_models.py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src/</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LSTM Attention, CNN Transformer, TFT Lite, Ensemble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model.py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src/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PatchTSTLite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api.py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src/</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API FastAPI — 6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train_advanced.py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src/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Entraînement multi-modèles avec backtest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backtest.py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src/</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Backtest portefeuille multi-actifs corrigé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ensemble_final.py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src/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Ensemble pondéré standalone avec MLflow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tune_lstm_optuna.py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src/</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Optuna mono-objectif F1 (LSTM)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tune_all_optuna.py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src/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Optuna multi-objectif Pareto (3 modèles)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Dockerfile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racine/</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Build multi-stage python:3.11-slim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docker-compose.yml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racine/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Orchestration Docker locale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requirements-deploy.txt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racine/</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Dépendances production minimales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test_api.py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racine/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Script de test complet des 6 endpoints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ci.yml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.github/workflows/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Tests automatiques à chaque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cd.yml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.github/workflows/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Build Docker + push GHCR sur main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tests/ (3 fichiers)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tests/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15 tests unitaires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config.yaml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racine/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Configuration centralisée complète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10_Advanced_Models_Colab.ipynb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notebooks/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Entraînement 4 modèles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12_Ensemble_Final_Colab.ipynb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notebooks/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Ensemble + backtest + prédiction live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13_Optuna_MultiObj_Colab.ipynb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notebooks/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20"/>
                <w:szCs w:val="20"/>
              </w:rPr>
              <w:t xml:space="preserve">Optuna NSGAIISampler (3 modèles)</w:t>
            </w:r>
          </w:p>
        </w:tc>
      </w:tr>
    </w:tbl>
    <w:p>
      <w:pPr>
        <w:spacing w:after="0" w:before="240"/>
      </w:pPr>
      <w:r>
        <w:rPr>
          <w:sz w:val="22"/>
          <w:szCs w:val="22"/>
        </w:rPr>
        <w:t xml:space="preserve"/>
      </w:r>
    </w:p>
    <w:p>
      <w:pPr>
        <w:pStyle w:val="Heading1"/>
        <w:pBdr>
          <w:bottom w:val="single" w:color="2E75B6" w:sz="8" w:space="1"/>
        </w:pBdr>
        <w:spacing w:after="180" w:before="400"/>
      </w:pPr>
      <w:r>
        <w:rPr>
          <w:rFonts w:ascii="Calibri" w:cs="Calibri" w:eastAsia="Calibri" w:hAnsi="Calibri"/>
          <w:b/>
          <w:bCs/>
          <w:color w:val="1F4E79"/>
          <w:sz w:val="36"/>
          <w:szCs w:val="36"/>
        </w:rPr>
        <w:t xml:space="preserve">Annexe B — Configuration complète (config.yaml)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5" w:before="15"/>
            </w:pPr>
            <w:r>
              <w:rPr>
                <w:rFonts w:ascii="Consolas" w:cs="Consolas" w:eastAsia="Consolas" w:hAnsi="Consolas"/>
                <w:color w:val="1F1F1F"/>
                <w:sz w:val="18"/>
                <w:szCs w:val="18"/>
              </w:rPr>
              <w:t xml:space="preserve">project:</w:t>
            </w:r>
          </w:p>
          <w:p>
            <w:pPr>
              <w:spacing w:after="15" w:before="15"/>
            </w:pPr>
            <w:r>
              <w:rPr>
                <w:rFonts w:ascii="Consolas" w:cs="Consolas" w:eastAsia="Consolas" w:hAnsi="Consolas"/>
                <w:color w:val="1F1F1F"/>
                <w:sz w:val="18"/>
                <w:szCs w:val="18"/>
              </w:rPr>
              <w:t xml:space="preserve">  name: patchtst-trading-multi-model</w:t>
            </w:r>
          </w:p>
          <w:p>
            <w:pPr>
              <w:spacing w:after="15" w:before="15"/>
            </w:pPr>
            <w:r>
              <w:rPr>
                <w:rFonts w:ascii="Consolas" w:cs="Consolas" w:eastAsia="Consolas" w:hAnsi="Consolas"/>
                <w:color w:val="1F1F1F"/>
                <w:sz w:val="18"/>
                <w:szCs w:val="18"/>
              </w:rPr>
              <w:t xml:space="preserve">  seed: 42</w:t>
            </w:r>
          </w:p>
          <w:p>
            <w:pPr>
              <w:spacing w:after="15" w:before="15"/>
            </w:pPr>
            <w:r>
              <w:rPr>
                <w:rFonts w:ascii="Consolas" w:cs="Consolas" w:eastAsia="Consolas" w:hAnsi="Consolas"/>
                <w:color w:val="1F1F1F"/>
                <w:sz w:val="18"/>
                <w:szCs w:val="18"/>
              </w:rPr>
              <w:t xml:space="preserve">  mlflow_experiment: PatchTST-Trading-MultiModel</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model:</w:t>
            </w:r>
          </w:p>
          <w:p>
            <w:pPr>
              <w:spacing w:after="15" w:before="15"/>
            </w:pPr>
            <w:r>
              <w:rPr>
                <w:rFonts w:ascii="Consolas" w:cs="Consolas" w:eastAsia="Consolas" w:hAnsi="Consolas"/>
                <w:color w:val="1F1F1F"/>
                <w:sz w:val="18"/>
                <w:szCs w:val="18"/>
              </w:rPr>
              <w:t xml:space="preserve">  seq_len: 96        # fenêtre d'entrée (96 heures)</w:t>
            </w:r>
          </w:p>
          <w:p>
            <w:pPr>
              <w:spacing w:after="15" w:before="15"/>
            </w:pPr>
            <w:r>
              <w:rPr>
                <w:rFonts w:ascii="Consolas" w:cs="Consolas" w:eastAsia="Consolas" w:hAnsi="Consolas"/>
                <w:color w:val="1F1F1F"/>
                <w:sz w:val="18"/>
                <w:szCs w:val="18"/>
              </w:rPr>
              <w:t xml:space="preserve">  patch_len: 12      # PatchTST uniquement</w:t>
            </w:r>
          </w:p>
          <w:p>
            <w:pPr>
              <w:spacing w:after="15" w:before="15"/>
            </w:pPr>
            <w:r>
              <w:rPr>
                <w:rFonts w:ascii="Consolas" w:cs="Consolas" w:eastAsia="Consolas" w:hAnsi="Consolas"/>
                <w:color w:val="1F1F1F"/>
                <w:sz w:val="18"/>
                <w:szCs w:val="18"/>
              </w:rPr>
              <w:t xml:space="preserve">  stride: 6          # PatchTST uniquement</w:t>
            </w:r>
          </w:p>
          <w:p>
            <w:pPr>
              <w:spacing w:after="15" w:before="15"/>
            </w:pPr>
            <w:r>
              <w:rPr>
                <w:rFonts w:ascii="Consolas" w:cs="Consolas" w:eastAsia="Consolas" w:hAnsi="Consolas"/>
                <w:color w:val="1F1F1F"/>
                <w:sz w:val="18"/>
                <w:szCs w:val="18"/>
              </w:rPr>
              <w:t xml:space="preserve">  d_model: 64</w:t>
            </w:r>
          </w:p>
          <w:p>
            <w:pPr>
              <w:spacing w:after="15" w:before="15"/>
            </w:pPr>
            <w:r>
              <w:rPr>
                <w:rFonts w:ascii="Consolas" w:cs="Consolas" w:eastAsia="Consolas" w:hAnsi="Consolas"/>
                <w:color w:val="1F1F1F"/>
                <w:sz w:val="18"/>
                <w:szCs w:val="18"/>
              </w:rPr>
              <w:t xml:space="preserve">  n_heads: 4</w:t>
            </w:r>
          </w:p>
          <w:p>
            <w:pPr>
              <w:spacing w:after="15" w:before="15"/>
            </w:pPr>
            <w:r>
              <w:rPr>
                <w:rFonts w:ascii="Consolas" w:cs="Consolas" w:eastAsia="Consolas" w:hAnsi="Consolas"/>
                <w:color w:val="1F1F1F"/>
                <w:sz w:val="18"/>
                <w:szCs w:val="18"/>
              </w:rPr>
              <w:t xml:space="preserve">  n_layers: 3</w:t>
            </w:r>
          </w:p>
          <w:p>
            <w:pPr>
              <w:spacing w:after="15" w:before="15"/>
            </w:pPr>
            <w:r>
              <w:rPr>
                <w:rFonts w:ascii="Consolas" w:cs="Consolas" w:eastAsia="Consolas" w:hAnsi="Consolas"/>
                <w:color w:val="1F1F1F"/>
                <w:sz w:val="18"/>
                <w:szCs w:val="18"/>
              </w:rPr>
              <w:t xml:space="preserve">  ff_dim: 128</w:t>
            </w:r>
          </w:p>
          <w:p>
            <w:pPr>
              <w:spacing w:after="15" w:before="15"/>
            </w:pPr>
            <w:r>
              <w:rPr>
                <w:rFonts w:ascii="Consolas" w:cs="Consolas" w:eastAsia="Consolas" w:hAnsi="Consolas"/>
                <w:color w:val="1F1F1F"/>
                <w:sz w:val="18"/>
                <w:szCs w:val="18"/>
              </w:rPr>
              <w:t xml:space="preserve">  dropout: 0.20</w:t>
            </w:r>
          </w:p>
          <w:p>
            <w:pPr>
              <w:spacing w:after="15" w:before="15"/>
            </w:pPr>
            <w:r>
              <w:rPr>
                <w:rFonts w:ascii="Consolas" w:cs="Consolas" w:eastAsia="Consolas" w:hAnsi="Consolas"/>
                <w:color w:val="1F1F1F"/>
                <w:sz w:val="18"/>
                <w:szCs w:val="18"/>
              </w:rPr>
              <w:t xml:space="preserve">  n_classes: 3       # Sell=0 / Hold=1 / Buy=2</w:t>
            </w:r>
          </w:p>
          <w:p>
            <w:pPr>
              <w:spacing w:after="15" w:before="15"/>
            </w:pPr>
            <w:r>
              <w:rPr>
                <w:rFonts w:ascii="Consolas" w:cs="Consolas" w:eastAsia="Consolas" w:hAnsi="Consolas"/>
                <w:color w:val="1F1F1F"/>
                <w:sz w:val="18"/>
                <w:szCs w:val="18"/>
              </w:rPr>
              <w:t xml:space="preserve">  hidden_dim: 128    # LSTM uniquement</w:t>
            </w:r>
          </w:p>
          <w:p>
            <w:pPr>
              <w:spacing w:after="15" w:before="15"/>
            </w:pPr>
            <w:r>
              <w:rPr>
                <w:rFonts w:ascii="Consolas" w:cs="Consolas" w:eastAsia="Consolas" w:hAnsi="Consolas"/>
                <w:color w:val="1F1F1F"/>
                <w:sz w:val="18"/>
                <w:szCs w:val="18"/>
              </w:rPr>
              <w:t xml:space="preserve">  ensemble_members: [patchtst, lstm_attention, cnn_transformer]</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training:</w:t>
            </w:r>
          </w:p>
          <w:p>
            <w:pPr>
              <w:spacing w:after="15" w:before="15"/>
            </w:pPr>
            <w:r>
              <w:rPr>
                <w:rFonts w:ascii="Consolas" w:cs="Consolas" w:eastAsia="Consolas" w:hAnsi="Consolas"/>
                <w:color w:val="1F1F1F"/>
                <w:sz w:val="18"/>
                <w:szCs w:val="18"/>
              </w:rPr>
              <w:t xml:space="preserve">  batch_size: 64</w:t>
            </w:r>
          </w:p>
          <w:p>
            <w:pPr>
              <w:spacing w:after="15" w:before="15"/>
            </w:pPr>
            <w:r>
              <w:rPr>
                <w:rFonts w:ascii="Consolas" w:cs="Consolas" w:eastAsia="Consolas" w:hAnsi="Consolas"/>
                <w:color w:val="1F1F1F"/>
                <w:sz w:val="18"/>
                <w:szCs w:val="18"/>
              </w:rPr>
              <w:t xml:space="preserve">  epochs: 20</w:t>
            </w:r>
          </w:p>
          <w:p>
            <w:pPr>
              <w:spacing w:after="15" w:before="15"/>
            </w:pPr>
            <w:r>
              <w:rPr>
                <w:rFonts w:ascii="Consolas" w:cs="Consolas" w:eastAsia="Consolas" w:hAnsi="Consolas"/>
                <w:color w:val="1F1F1F"/>
                <w:sz w:val="18"/>
                <w:szCs w:val="18"/>
              </w:rPr>
              <w:t xml:space="preserve">  lr: 0.0003</w:t>
            </w:r>
          </w:p>
          <w:p>
            <w:pPr>
              <w:spacing w:after="15" w:before="15"/>
            </w:pPr>
            <w:r>
              <w:rPr>
                <w:rFonts w:ascii="Consolas" w:cs="Consolas" w:eastAsia="Consolas" w:hAnsi="Consolas"/>
                <w:color w:val="1F1F1F"/>
                <w:sz w:val="18"/>
                <w:szCs w:val="18"/>
              </w:rPr>
              <w:t xml:space="preserve">  weight_decay: 0.0001</w:t>
            </w:r>
          </w:p>
          <w:p>
            <w:pPr>
              <w:spacing w:after="15" w:before="15"/>
            </w:pPr>
            <w:r>
              <w:rPr>
                <w:rFonts w:ascii="Consolas" w:cs="Consolas" w:eastAsia="Consolas" w:hAnsi="Consolas"/>
                <w:color w:val="1F1F1F"/>
                <w:sz w:val="18"/>
                <w:szCs w:val="18"/>
              </w:rPr>
              <w:t xml:space="preserve">  patience: 6</w:t>
            </w:r>
          </w:p>
          <w:p>
            <w:pPr>
              <w:spacing w:after="15" w:before="15"/>
            </w:pPr>
            <w:r>
              <w:rPr>
                <w:rFonts w:ascii="Consolas" w:cs="Consolas" w:eastAsia="Consolas" w:hAnsi="Consolas"/>
                <w:color w:val="1F1F1F"/>
                <w:sz w:val="18"/>
                <w:szCs w:val="18"/>
              </w:rPr>
              <w:t xml:space="preserve">  label_smoothing: 0.02</w:t>
            </w:r>
          </w:p>
          <w:p>
            <w:pPr>
              <w:spacing w:after="15" w:before="15"/>
            </w:pPr>
            <w:r>
              <w:rPr>
                <w:rFonts w:ascii="Consolas" w:cs="Consolas" w:eastAsia="Consolas" w:hAnsi="Consolas"/>
                <w:color w:val="1F1F1F"/>
                <w:sz w:val="18"/>
                <w:szCs w:val="18"/>
              </w:rPr>
              <w:t xml:space="preserve">  grad_clip: 1.0</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target:</w:t>
            </w:r>
          </w:p>
          <w:p>
            <w:pPr>
              <w:spacing w:after="15" w:before="15"/>
            </w:pPr>
            <w:r>
              <w:rPr>
                <w:rFonts w:ascii="Consolas" w:cs="Consolas" w:eastAsia="Consolas" w:hAnsi="Consolas"/>
                <w:color w:val="1F1F1F"/>
                <w:sz w:val="18"/>
                <w:szCs w:val="18"/>
              </w:rPr>
              <w:t xml:space="preserve">  horizon: 12        # prédiction à 12 heures</w:t>
            </w:r>
          </w:p>
          <w:p>
            <w:pPr>
              <w:spacing w:after="15" w:before="15"/>
            </w:pPr>
            <w:r>
              <w:rPr>
                <w:rFonts w:ascii="Consolas" w:cs="Consolas" w:eastAsia="Consolas" w:hAnsi="Consolas"/>
                <w:color w:val="1F1F1F"/>
                <w:sz w:val="18"/>
                <w:szCs w:val="18"/>
              </w:rPr>
              <w:t xml:space="preserve">  buy_threshold: 0.008   # +0.8% → BUY</w:t>
            </w:r>
          </w:p>
          <w:p>
            <w:pPr>
              <w:spacing w:after="15" w:before="15"/>
            </w:pPr>
            <w:r>
              <w:rPr>
                <w:rFonts w:ascii="Consolas" w:cs="Consolas" w:eastAsia="Consolas" w:hAnsi="Consolas"/>
                <w:color w:val="1F1F1F"/>
                <w:sz w:val="18"/>
                <w:szCs w:val="18"/>
              </w:rPr>
              <w:t xml:space="preserve">  sell_threshold: -0.008 # -0.8% → SELL</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backtest:</w:t>
            </w:r>
          </w:p>
          <w:p>
            <w:pPr>
              <w:spacing w:after="15" w:before="15"/>
            </w:pPr>
            <w:r>
              <w:rPr>
                <w:rFonts w:ascii="Consolas" w:cs="Consolas" w:eastAsia="Consolas" w:hAnsi="Consolas"/>
                <w:color w:val="1F1F1F"/>
                <w:sz w:val="18"/>
                <w:szCs w:val="18"/>
              </w:rPr>
              <w:t xml:space="preserve">  fee_bps: 5         # 0.05% frais transaction</w:t>
            </w:r>
          </w:p>
          <w:p>
            <w:pPr>
              <w:spacing w:after="15" w:before="15"/>
            </w:pPr>
            <w:r>
              <w:rPr>
                <w:rFonts w:ascii="Consolas" w:cs="Consolas" w:eastAsia="Consolas" w:hAnsi="Consolas"/>
                <w:color w:val="1F1F1F"/>
                <w:sz w:val="18"/>
                <w:szCs w:val="18"/>
              </w:rPr>
              <w:t xml:space="preserve">  slippage_bps: 2    # 0.02% glissement</w:t>
            </w:r>
          </w:p>
          <w:p>
            <w:pPr>
              <w:spacing w:after="15" w:before="15"/>
            </w:pPr>
            <w:r>
              <w:rPr>
                <w:rFonts w:ascii="Consolas" w:cs="Consolas" w:eastAsia="Consolas" w:hAnsi="Consolas"/>
                <w:color w:val="1F1F1F"/>
                <w:sz w:val="18"/>
                <w:szCs w:val="18"/>
              </w:rPr>
              <w:t xml:space="preserve">  probability_threshold: 0.45</w:t>
            </w:r>
          </w:p>
          <w:p>
            <w:pPr>
              <w:spacing w:after="15" w:before="15"/>
            </w:pPr>
            <w:r>
              <w:rPr>
                <w:rFonts w:ascii="Consolas" w:cs="Consolas" w:eastAsia="Consolas" w:hAnsi="Consolas"/>
                <w:color w:val="1F1F1F"/>
                <w:sz w:val="18"/>
                <w:szCs w:val="18"/>
              </w:rPr>
              <w:t xml:space="preserve">  allow_short: true</w:t>
            </w:r>
          </w:p>
          <w:p>
            <w:pPr>
              <w:spacing w:after="15" w:before="15"/>
            </w:pPr>
            <w:r>
              <w:rPr>
                <w:rFonts w:ascii="Consolas" w:cs="Consolas" w:eastAsia="Consolas" w:hAnsi="Consolas"/>
                <w:color w:val="1F1F1F"/>
                <w:sz w:val="18"/>
                <w:szCs w:val="18"/>
              </w:rPr>
              <w:t xml:space="preserve"/>
            </w:r>
          </w:p>
          <w:p>
            <w:pPr>
              <w:spacing w:after="15" w:before="15"/>
            </w:pPr>
            <w:r>
              <w:rPr>
                <w:rFonts w:ascii="Consolas" w:cs="Consolas" w:eastAsia="Consolas" w:hAnsi="Consolas"/>
                <w:color w:val="1F1F1F"/>
                <w:sz w:val="18"/>
                <w:szCs w:val="18"/>
              </w:rPr>
              <w:t xml:space="preserve">optuna:</w:t>
            </w:r>
          </w:p>
          <w:p>
            <w:pPr>
              <w:spacing w:after="15" w:before="15"/>
            </w:pPr>
            <w:r>
              <w:rPr>
                <w:rFonts w:ascii="Consolas" w:cs="Consolas" w:eastAsia="Consolas" w:hAnsi="Consolas"/>
                <w:color w:val="1F1F1F"/>
                <w:sz w:val="18"/>
                <w:szCs w:val="18"/>
              </w:rPr>
              <w:t xml:space="preserve">  n_trials: 20</w:t>
            </w:r>
          </w:p>
          <w:p>
            <w:pPr>
              <w:spacing w:after="15" w:before="15"/>
            </w:pPr>
            <w:r>
              <w:rPr>
                <w:rFonts w:ascii="Consolas" w:cs="Consolas" w:eastAsia="Consolas" w:hAnsi="Consolas"/>
                <w:color w:val="1F1F1F"/>
                <w:sz w:val="18"/>
                <w:szCs w:val="18"/>
              </w:rPr>
              <w:t xml:space="preserve">  n_startup: 5</w:t>
            </w:r>
          </w:p>
          <w:p>
            <w:pPr>
              <w:spacing w:after="15" w:before="15"/>
            </w:pPr>
            <w:r>
              <w:rPr>
                <w:rFonts w:ascii="Consolas" w:cs="Consolas" w:eastAsia="Consolas" w:hAnsi="Consolas"/>
                <w:color w:val="1F1F1F"/>
                <w:sz w:val="18"/>
                <w:szCs w:val="18"/>
              </w:rPr>
              <w:t xml:space="preserve">  n_epochs_trial: 8</w:t>
            </w:r>
          </w:p>
        </w:tc>
      </w:tr>
    </w:tbl>
    <w:p>
      <w:pPr>
        <w:spacing w:after="0" w:before="120"/>
      </w:pPr>
      <w:r>
        <w:rPr>
          <w:sz w:val="22"/>
          <w:szCs w:val="22"/>
        </w:rPr>
        <w:t xml:space="preserve"/>
      </w:r>
    </w:p>
    <w:p>
      <w:pPr>
        <w:pBdr>
          <w:top w:val="single" w:color="2E75B6" w:sz="4" w:space="1"/>
        </w:pBdr>
        <w:spacing w:after="0" w:before="480"/>
        <w:jc w:val="center"/>
      </w:pPr>
      <w:r>
        <w:rPr>
          <w:rFonts w:ascii="Calibri" w:cs="Calibri" w:eastAsia="Calibri" w:hAnsi="Calibri"/>
          <w:b w:val="false"/>
          <w:bCs w:val="false"/>
          <w:i/>
          <w:iCs/>
          <w:color w:val="595959"/>
          <w:sz w:val="18"/>
          <w:szCs w:val="18"/>
        </w:rPr>
        <w:t xml:space="preserve">Rapport Final de Projet — Système de Trading IA — Avril 2026 — Document confidentiel</w:t>
      </w:r>
    </w:p>
    <w:sectPr>
      <w:headerReference w:type="default" r:id="rId7"/>
      <w:footerReference w:type="default" r:id="rId8"/>
      <w:pgSz w:w="11906" w:h="16838" w:orient="portrait"/>
      <w:pgMar w:top="1134" w:right="1134" w:bottom="13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jc w:val="center"/>
    </w:pPr>
    <w:r>
      <w:rPr>
        <w:rFonts w:ascii="Calibri" w:cs="Calibri" w:eastAsia="Calibri" w:hAnsi="Calibri"/>
        <w:b w:val="false"/>
        <w:bCs w:val="false"/>
        <w:i w:val="false"/>
        <w:iCs w:val="false"/>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026"/>
      </w:tabs>
    </w:pPr>
    <w:r>
      <w:rPr>
        <w:rFonts w:ascii="Calibri" w:cs="Calibri" w:eastAsia="Calibri" w:hAnsi="Calibri"/>
        <w:b w:val="false"/>
        <w:bCs w:val="false"/>
        <w:i w:val="false"/>
        <w:iCs w:val="false"/>
        <w:color w:val="595959"/>
        <w:sz w:val="18"/>
        <w:szCs w:val="18"/>
      </w:rPr>
      <w:t xml:space="preserve">Rapport Final — Système de Trading IA</w:t>
    </w:r>
    <w:r>
      <w:rPr>
        <w:rFonts w:ascii="Calibri" w:cs="Calibri" w:eastAsia="Calibri" w:hAnsi="Calibri"/>
        <w:sz w:val="18"/>
        <w:szCs w:val="18"/>
      </w:rPr>
      <w:t xml:space="preserve">	</w:t>
    </w:r>
    <w:r>
      <w:rPr>
        <w:rFonts w:ascii="Calibri" w:cs="Calibri" w:eastAsia="Calibri" w:hAnsi="Calibri"/>
        <w:b w:val="false"/>
        <w:bCs w:val="false"/>
        <w:i w:val="false"/>
        <w:iCs w:val="false"/>
        <w:color w:val="595959"/>
        <w:sz w:val="18"/>
        <w:szCs w:val="18"/>
      </w:rPr>
      <w:t xml:space="preserve">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E6B75"/>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2026-04-14T21:16:20.497Z</dcterms:created>
  <dcterms:modified xsi:type="dcterms:W3CDTF">2026-04-14T21:16:20.499Z</dcterms:modified>
</cp:coreProperties>
</file>

<file path=docProps/custom.xml><?xml version="1.0" encoding="utf-8"?>
<Properties xmlns="http://schemas.openxmlformats.org/officeDocument/2006/custom-properties" xmlns:vt="http://schemas.openxmlformats.org/officeDocument/2006/docPropsVTypes"/>
</file>