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光谷中小企业技术创新专项资金申报指南 · 政策落地效果评估报告</w:t>
      </w:r>
    </w:p>
    <w:p>
      <w:r>
        <w:t>评估时间：2026-07-31 15:01:13　模型：tongyi</w:t>
      </w:r>
    </w:p>
    <w:p>
      <w:pPr>
        <w:pStyle w:val="Heading1"/>
      </w:pPr>
      <w:r>
        <w:t>一、总体评估结论</w:t>
      </w:r>
    </w:p>
    <w:p>
      <w:r>
        <w:t>该政策设计较为全面，覆盖了资金支持、研发费用补贴等多个方面，但在申报流程和材料要求上存在一定的模糊性，导致部分企业遇到操作困难。总体而言，政策目标明确，但需进一步优化细节以提高落地效率。</w:t>
      </w:r>
    </w:p>
    <w:p>
      <w:pPr>
        <w:pStyle w:val="Heading1"/>
      </w:pPr>
      <w:r>
        <w:t>二、政策优势</w:t>
      </w:r>
    </w:p>
    <w:p>
      <w:pPr>
        <w:pStyle w:val="Heading2"/>
      </w:pPr>
      <w:r>
        <w:t>资金支持力度大</w:t>
      </w:r>
    </w:p>
    <w:p>
      <w:r>
        <w:t>第四条对符合条件的项目给予不超过项目总投入30%的补贴，单个项目最高300万元；第五条研发费用补贴：按照实际研发投入的20%给予补贴，每年最高100万元。这些条款为中小企业提供了实质性的资金支持。</w:t>
      </w:r>
    </w:p>
    <w:p>
      <w:pPr>
        <w:pStyle w:val="Heading2"/>
      </w:pPr>
      <w:r>
        <w:t>鼓励高新技术企业认定</w:t>
      </w:r>
    </w:p>
    <w:p>
      <w:r>
        <w:t>第六条对获得高新技术企业认定并首次申报的企业，额外给予10万元奖励。这一措施激励企业积极申请高新技术企业认定，提升自身技术水平。</w:t>
      </w:r>
    </w:p>
    <w:p>
      <w:pPr>
        <w:pStyle w:val="Heading2"/>
      </w:pPr>
      <w:r>
        <w:t>贷款贴息支持</w:t>
      </w:r>
    </w:p>
    <w:p>
      <w:r>
        <w:t>第七条贷款贴息：对用于技术研发的银行贷款，按同期LPR的50%贴息，期限不超过两年。这有助于降低企业的融资成本，促进技术创新。</w:t>
      </w:r>
    </w:p>
    <w:p>
      <w:pPr>
        <w:pStyle w:val="Heading1"/>
      </w:pPr>
      <w:r>
        <w:t>三、落地难点</w:t>
      </w:r>
    </w:p>
    <w:p>
      <w:pPr>
        <w:pStyle w:val="Heading2"/>
      </w:pPr>
      <w:r>
        <w:t>线上申报系统指引不清晰</w:t>
      </w:r>
    </w:p>
    <w:p>
      <w:r>
        <w:t>用户反馈中提到线上申报系统填报指引不清晰，研发费用归集口径与财务口径不一致，导致返工。涉及条款第十一条，需要改进线上系统的用户体验。</w:t>
      </w:r>
    </w:p>
    <w:p>
      <w:pPr>
        <w:pStyle w:val="Heading2"/>
      </w:pPr>
      <w:r>
        <w:t>第三方检测报告模板未统一</w:t>
      </w:r>
    </w:p>
    <w:p>
      <w:r>
        <w:t>光电芯片团队反馈第三方检测报告模板未统一，不同团队提交格式不一，评审要求补充证明材料。涉及条款第十一条，建议统一检测报告模板，简化材料准备过程。</w:t>
      </w:r>
    </w:p>
    <w:p>
      <w:pPr>
        <w:pStyle w:val="Heading2"/>
      </w:pPr>
      <w:r>
        <w:t>研发费用认定边界不明确</w:t>
      </w:r>
    </w:p>
    <w:p>
      <w:r>
        <w:t>光电子集成团队反馈对研发占比3%的认定边界存在疑问，设备购置费用是否计入研发支出不明确。涉及条款第三条（二），需要明确研发费用的具体范围，避免企业在申报时产生困惑。</w:t>
      </w:r>
    </w:p>
    <w:p>
      <w:pPr>
        <w:pStyle w:val="Heading2"/>
      </w:pPr>
      <w:r>
        <w:t>资金拨付延迟</w:t>
      </w:r>
    </w:p>
    <w:p>
      <w:r>
        <w:t>量子信息团队反馈2025年立项项目首批补贴资金拨付延迟，到账进度与文件承诺不符。涉及条款第四条至第七条，应确保资金按时到位，提高政策执行效率。</w:t>
      </w:r>
    </w:p>
    <w:p>
      <w:pPr>
        <w:pStyle w:val="Heading2"/>
      </w:pPr>
      <w:r>
        <w:t>申报截止时间与盖章流程冲突</w:t>
      </w:r>
    </w:p>
    <w:p>
      <w:r>
        <w:t>微纳制造团队反馈申报截止时间与材料盖章流程冲突，盖章审批需3个工作日，时间紧张。涉及条款第十一条，建议适当延长申报截止时间或优化盖章审批流程。</w:t>
      </w:r>
    </w:p>
    <w:p>
      <w:pPr>
        <w:pStyle w:val="Heading1"/>
      </w:pPr>
      <w:r>
        <w:t>四、用户反馈维度分析</w:t>
      </w:r>
    </w:p>
    <w:p>
      <w:r>
        <w:t>用户反馈主要集中在申报流程、材料要求和政策解读三个方面。共性问题包括线上系统指引不清晰、第三方检测报告模板不统一、研发费用认定边界不明确等。目前解决率为40%，主要痛点在于政策细节不够明确，导致企业在实际操作中遇到困难。</w:t>
      </w:r>
    </w:p>
    <w:p>
      <w:pPr>
        <w:pStyle w:val="Heading1"/>
      </w:pPr>
      <w:r>
        <w:t>五、迭代建议</w:t>
      </w:r>
    </w:p>
    <w:p>
      <w:pPr>
        <w:pStyle w:val="ListNumber"/>
      </w:pPr>
      <w:r>
        <w:t>优化线上申报系统，提供详细的填报指引和常见问题解答，确保用户能够顺利提交材料。</w:t>
      </w:r>
    </w:p>
    <w:p>
      <w:pPr>
        <w:pStyle w:val="ListNumber"/>
      </w:pPr>
      <w:r>
        <w:t>统一第三方检测报告模板，减少因格式不一致导致的材料补充需求。</w:t>
      </w:r>
    </w:p>
    <w:p>
      <w:pPr>
        <w:pStyle w:val="ListNumber"/>
      </w:pPr>
      <w:r>
        <w:t>明确研发费用的具体范围，特别是设备购置费用是否计入研发支出，避免企业在申报时产生困惑。</w:t>
      </w:r>
    </w:p>
    <w:p>
      <w:pPr>
        <w:pStyle w:val="ListNumber"/>
      </w:pPr>
      <w:r>
        <w:t>加强资金拨付管理，确保补贴资金按时到位，提高政策执行效率。</w:t>
      </w:r>
    </w:p>
    <w:p>
      <w:pPr>
        <w:pStyle w:val="ListNumber"/>
      </w:pPr>
      <w:r>
        <w:t>适当延长申报截止时间或优化盖章审批流程，避免因时间紧张导致企业无法及时完成申报。</w:t>
      </w:r>
    </w:p>
    <w:p/>
    <w:p>
      <w:r>
        <w:t>报告由 tongyi 自动生成，仅供参考，最终以主管部门解释为准。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