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光谷中小企业技术创新专项资金申报指南 · 政策落地效果评估报告</w:t>
      </w:r>
    </w:p>
    <w:p>
      <w:r>
        <w:t>评估时间：2026-07-31 19:07:29　模型：tongyi</w:t>
      </w:r>
    </w:p>
    <w:p>
      <w:pPr>
        <w:pStyle w:val="Heading1"/>
      </w:pPr>
      <w:r>
        <w:t>一、总体评估结论</w:t>
      </w:r>
    </w:p>
    <w:p>
      <w:r>
        <w:t>该政策设计较为全面，旨在促进光谷中小企业技术创新，但实际落地过程中存在申报系统指引不清晰、资金拨付延迟等问题，影响了企业申报的积极性和效率。</w:t>
      </w:r>
    </w:p>
    <w:p>
      <w:pPr>
        <w:pStyle w:val="Heading1"/>
      </w:pPr>
      <w:r>
        <w:t>二、政策优势</w:t>
      </w:r>
    </w:p>
    <w:p>
      <w:pPr>
        <w:pStyle w:val="Heading2"/>
      </w:pPr>
      <w:r>
        <w:t>明确的资助标准</w:t>
      </w:r>
    </w:p>
    <w:p>
      <w:r>
        <w:t>第四条对符合条件的项目给予不超过项目总投入30%的补贴，单个项目最高300万元；第五条研发费用补贴按照实际研发投入的20%给予补贴，每年最高100万元。这些具体的标准为企业提供了明确的资金支持预期。</w:t>
      </w:r>
    </w:p>
    <w:p>
      <w:pPr>
        <w:pStyle w:val="Heading2"/>
      </w:pPr>
      <w:r>
        <w:t>鼓励高新技术企业认定</w:t>
      </w:r>
    </w:p>
    <w:p>
      <w:r>
        <w:t>第六条对获得高新技术企业认定并首次申报的企业，额外给予10万元奖励。这有助于激励企业进行高新技术企业的认定，提升整体技术水平。</w:t>
      </w:r>
    </w:p>
    <w:p>
      <w:pPr>
        <w:pStyle w:val="Heading2"/>
      </w:pPr>
      <w:r>
        <w:t>贷款贴息支持</w:t>
      </w:r>
    </w:p>
    <w:p>
      <w:r>
        <w:t>第七条对用于技术研发的银行贷款，按同期LPR的50%贴息，期限不超过两年。这一措施减轻了企业在技术研发过程中的财务负担，促进了技术创新。</w:t>
      </w:r>
    </w:p>
    <w:p>
      <w:pPr>
        <w:pStyle w:val="Heading1"/>
      </w:pPr>
      <w:r>
        <w:t>三、落地难点</w:t>
      </w:r>
    </w:p>
    <w:p>
      <w:pPr>
        <w:pStyle w:val="Heading2"/>
      </w:pPr>
      <w:r>
        <w:t>线上申报系统指引不清晰</w:t>
      </w:r>
    </w:p>
    <w:p>
      <w:r>
        <w:t>用户反馈显示，线上申报系统填报指引不清晰，导致企业需要多次返工。涉及条款第十一条，申报企业通过线上系统提交申报材料，包括申请表、财务审计报告、知识产权证明等。</w:t>
      </w:r>
    </w:p>
    <w:p>
      <w:pPr>
        <w:pStyle w:val="Heading2"/>
      </w:pPr>
      <w:r>
        <w:t>第三方检测报告模板不统一</w:t>
      </w:r>
    </w:p>
    <w:p>
      <w:r>
        <w:t>企业反映第三方检测报告模板不统一，增加了申报难度。涉及条款第十一条，申报企业通过线上系统提交申报材料，包括申请表、财务审计报告、知识产权证明等。</w:t>
      </w:r>
    </w:p>
    <w:p>
      <w:pPr>
        <w:pStyle w:val="Heading2"/>
      </w:pPr>
      <w:r>
        <w:t>资金拨付延迟</w:t>
      </w:r>
    </w:p>
    <w:p>
      <w:r>
        <w:t>企业普遍反映资金拨付存在延迟，距公示已过3个月仍未到账。涉及条款第十条，资助资金须专款专用，接受审计监督。</w:t>
      </w:r>
    </w:p>
    <w:p>
      <w:pPr>
        <w:pStyle w:val="Heading1"/>
      </w:pPr>
      <w:r>
        <w:t>四、用户反馈维度分析</w:t>
      </w:r>
    </w:p>
    <w:p>
      <w:r>
        <w:t>用户反馈主要集中在申报系统的操作指引不清晰、第三方检测报告模板不统一以及资金拨付延迟三个方面。这些问题导致企业申报过程复杂且耗时，降低了政策的实施效率。目前，已有3家企业完成申报，2家通过初审，1家因研发费用归集口径不一致被退回。总体来看，解决率较低，痛点在于申报流程的标准化和透明度不足。</w:t>
      </w:r>
    </w:p>
    <w:p>
      <w:pPr>
        <w:pStyle w:val="Heading1"/>
      </w:pPr>
      <w:r>
        <w:t>五、迭代建议</w:t>
      </w:r>
    </w:p>
    <w:p>
      <w:pPr>
        <w:pStyle w:val="ListNumber"/>
      </w:pPr>
      <w:r>
        <w:t>优化线上申报系统，提供详细的填报指引和常见问题解答，减少企业填报错误。</w:t>
      </w:r>
    </w:p>
    <w:p>
      <w:pPr>
        <w:pStyle w:val="ListNumber"/>
      </w:pPr>
      <w:r>
        <w:t>统一第三方检测报告模板，并在申报指南中明确要求，避免企业因格式问题反复修改。</w:t>
      </w:r>
    </w:p>
    <w:p>
      <w:pPr>
        <w:pStyle w:val="ListNumber"/>
      </w:pPr>
      <w:r>
        <w:t>建立资金拨付进度查询系统，提高资金拨付的透明度，确保资金及时到位。</w:t>
      </w:r>
    </w:p>
    <w:p>
      <w:pPr>
        <w:pStyle w:val="ListNumber"/>
      </w:pPr>
      <w:r>
        <w:t>设立专门的申报辅导团队，为企业提供一对一的申报指导，帮助其顺利完成申报。</w:t>
      </w:r>
    </w:p>
    <w:p/>
    <w:p>
      <w:r>
        <w:t>报告由 tongyi 自动生成，仅供参考，最终以主管部门解释为准。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