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Đơn vị tính của vật tư và quy đổi</w:t>
      </w:r>
    </w:p>
    <w:p>
      <w:pPr>
        <w:pStyle w:val="Normal"/>
      </w:pPr>
      <w:r>
        <w:t xml:space="preserve">Tài liệu này giải thích cách S-ERP quản lý đơn vị tính (ĐVT) của vật tư và tồn kho: một </w:t>
      </w:r>
      <w:r>
        <w:rPr>
          <w:b/>
        </w:rPr>
        <w:t xml:space="preserve">đơn vị gốc</w:t>
      </w:r>
      <w:r>
        <w:t xml:space="preserve"> cố định cho mỗi vật tư, thêm </w:t>
      </w:r>
      <w:r>
        <w:rPr>
          <w:b/>
        </w:rPr>
        <w:t xml:space="preserve">bảng đơn vị quy đổi</w:t>
      </w:r>
      <w:r>
        <w:t xml:space="preserve"> ngay trên form vật tư, và cách các phiếu dùng chúng.</w:t>
      </w:r>
    </w:p>
    <w:p>
      <w:pPr>
        <w:pStyle w:val="Heading1"/>
      </w:pPr>
      <w:r>
        <w:t xml:space="preserve">1. Nguyên tắc</w:t>
      </w:r>
    </w:p>
    <w:p>
      <w:pPr>
        <w:pStyle w:val="ListParagraph"/>
      </w:pPr>
      <w:r>
        <w:t xml:space="preserve">• Mỗi vật tư có </w:t>
      </w:r>
      <w:r>
        <w:rPr>
          <w:b/>
        </w:rPr>
        <w:t xml:space="preserve">một đơn vị gốc</w:t>
      </w:r>
      <w:r>
        <w:t xml:space="preserve"> (</w:t>
      </w:r>
      <w:r>
        <w:rPr>
          <w:rFonts w:ascii="Consolas" w:hAnsi="Consolas" w:cs="Consolas"/>
          <w:color w:val="164E63"/>
          <w:sz w:val="19"/>
        </w:rPr>
        <w:t xml:space="preserve">erp_material.uom_code</w:t>
      </w:r>
      <w:r>
        <w:t xml:space="preserve">, tab </w:t>
      </w:r>
      <w:r>
        <w:rPr>
          <w:b/>
        </w:rPr>
        <w:t xml:space="preserve">2. ĐVT, lô &amp; cờ quản lý</w:t>
      </w:r>
      <w:r>
        <w:t xml:space="preserve">). Tồn kho, sổ kho và giá bình quân </w:t>
      </w:r>
      <w:r>
        <w:rPr>
          <w:b/>
        </w:rPr>
        <w:t xml:space="preserve">luôn tính theo đơn vị gốc</w:t>
      </w:r>
      <w:r>
        <w:t xml:space="preserve">.</w:t>
      </w:r>
    </w:p>
    <w:p>
      <w:pPr>
        <w:pStyle w:val="ListParagraph"/>
      </w:pPr>
      <w:r>
        <w:t xml:space="preserve">• Các đơn vị khác muốn dùng trên phiếu (mua theo *kiện*, xuất theo *bộ*...) phải được khai báo ở tab </w:t>
      </w:r>
      <w:r>
        <w:rPr>
          <w:b/>
        </w:rPr>
        <w:t xml:space="preserve">5. Đơn vị quy đổi</w:t>
      </w:r>
      <w:r>
        <w:t xml:space="preserve"> của vật tư: *1 đơn vị đó = bao nhiêu đơn vị gốc*.</w:t>
      </w:r>
    </w:p>
    <w:p>
      <w:pPr>
        <w:pStyle w:val="ListParagraph"/>
      </w:pPr>
      <w:r>
        <w:t xml:space="preserve">• Trên phiếu, ô ĐVT của một dòng chỉ liệt kê </w:t>
      </w:r>
      <w:r>
        <w:rPr>
          <w:b/>
        </w:rPr>
        <w:t xml:space="preserve">đơn vị gốc và các đơn vị đã quy đổi của đúng vật tư đó</w:t>
      </w:r>
      <w:r>
        <w:t xml:space="preserve">. Dòng chọn đơn vị khác thì máy chủ từ chối ngay khi lưu phiếu (thông báo "Chưa có quy đổi từ đơn vị tính … sang đơn vị gốc …"), không đợi đến lúc ghi sổ.</w:t>
      </w:r>
    </w:p>
    <w:p>
      <w:pPr>
        <w:pStyle w:val="ListParagraph"/>
      </w:pPr>
      <w:r>
        <w:t xml:space="preserve">• Ghi sổ: số lượng của dòng được đổi về đơn vị gốc rồi mới vào sổ kho; sổ lưu cả hai (số lượng gốc và </w:t>
      </w:r>
      <w:r>
        <w:rPr>
          <w:rFonts w:ascii="Consolas" w:hAnsi="Consolas" w:cs="Consolas"/>
          <w:color w:val="164E63"/>
          <w:sz w:val="19"/>
        </w:rPr>
        <w:t xml:space="preserve">line_uom_code</w:t>
      </w:r>
      <w:r>
        <w:t xml:space="preserve">, </w:t>
      </w:r>
      <w:r>
        <w:rPr>
          <w:rFonts w:ascii="Consolas" w:hAnsi="Consolas" w:cs="Consolas"/>
          <w:color w:val="164E63"/>
          <w:sz w:val="19"/>
        </w:rPr>
        <w:t xml:space="preserve">line_quantity</w:t>
      </w:r>
      <w:r>
        <w:t xml:space="preserve"> của dòng phiếu). Xóa đơn vị khỏi bảng quy đổi </w:t>
      </w:r>
      <w:r>
        <w:rPr>
          <w:b/>
        </w:rPr>
        <w:t xml:space="preserve">không</w:t>
      </w:r>
      <w:r>
        <w:t xml:space="preserve"> ảnh hưởng tồn đã ghi, vì tồn lưu theo đơn vị gốc.</w:t>
      </w:r>
    </w:p>
    <w:p>
      <w:pPr>
        <w:pStyle w:val="Normal"/>
      </w:pPr>
      <w:r>
        <w:t xml:space="preserve">Ví dụ: thép tấm, đơn vị gốc </w:t>
      </w:r>
      <w:r>
        <w:rPr>
          <w:b/>
        </w:rPr>
        <w:t xml:space="preserve">TẤM</w:t>
      </w:r>
      <w:r>
        <w:t xml:space="preserve">; quy đổi </w:t>
      </w:r>
      <w:r>
        <w:rPr>
          <w:b/>
        </w:rPr>
        <w:t xml:space="preserve">1 KIỆN = 10 TẤM</w:t>
      </w:r>
      <w:r>
        <w:t xml:space="preserve">. Phiếu nhập 2 KIỆN → tồn tăng </w:t>
      </w:r>
      <w:r>
        <w:rPr>
          <w:b/>
        </w:rPr>
        <w:t xml:space="preserve">20 TẤM</w:t>
      </w:r>
      <w:r>
        <w:t xml:space="preserve">; đơn giá 100 / KIỆN thì giá trị nhập là 200.</w:t>
      </w:r>
    </w:p>
    <w:p>
      <w:pPr>
        <w:pStyle w:val="Heading1"/>
      </w:pPr>
      <w:r>
        <w:t xml:space="preserve">2. Khai báo trên form vật tư</w:t>
      </w:r>
    </w:p>
    <w:p>
      <w:pPr>
        <w:pStyle w:val="Normal"/>
      </w:pPr>
      <w:r>
        <w:t xml:space="preserve">Kho › Khai báo vật tư &amp; SP › mở vật tư › tab </w:t>
      </w:r>
      <w:r>
        <w:rPr>
          <w:b/>
        </w:rPr>
        <w:t xml:space="preserve">5. Đơn vị quy đổi</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691"/>
        <w:gridCol w:w="6669"/>
      </w:tblGrid>
      <w:tr>
        <w:trPr>
          <w:tblHeader/>
        </w:trPr>
        <w:tc>
          <w:tcPr>
            <w:tcW w:w="2691" w:type="dxa"/>
            <w:shd w:val="clear" w:fill="DCE9F3"/>
            <w:tcMar>
              <w:top w:w="70" w:type="dxa"/>
              <w:left w:w="100" w:type="dxa"/>
              <w:bottom w:w="70" w:type="dxa"/>
              <w:right w:w="100" w:type="dxa"/>
            </w:tcMar>
          </w:tcPr>
          <w:p>
            <w:pPr>
              <w:pStyle w:val="TableHeader"/>
            </w:pPr>
            <w:r>
              <w:t xml:space="preserve">Cột</w:t>
            </w:r>
          </w:p>
        </w:tc>
        <w:tc>
          <w:tcPr>
            <w:tcW w:w="6669" w:type="dxa"/>
            <w:shd w:val="clear" w:fill="DCE9F3"/>
            <w:tcMar>
              <w:top w:w="70" w:type="dxa"/>
              <w:left w:w="100" w:type="dxa"/>
              <w:bottom w:w="70" w:type="dxa"/>
              <w:right w:w="100" w:type="dxa"/>
            </w:tcMar>
          </w:tcPr>
          <w:p>
            <w:pPr>
              <w:pStyle w:val="TableHeader"/>
            </w:pPr>
            <w:r>
              <w:t xml:space="preserve">Ý nghĩa</w:t>
            </w:r>
          </w:p>
        </w:tc>
      </w:tr>
      <w:tr>
        <w:trPr>
          <w:cantSplit/>
        </w:trPr>
        <w:tc>
          <w:tcPr>
            <w:tcW w:w="2691" w:type="dxa"/>
            <w:tcMar>
              <w:top w:w="70" w:type="dxa"/>
              <w:left w:w="100" w:type="dxa"/>
              <w:bottom w:w="70" w:type="dxa"/>
              <w:right w:w="100" w:type="dxa"/>
            </w:tcMar>
          </w:tcPr>
          <w:p>
            <w:pPr>
              <w:pStyle w:val="TableText"/>
            </w:pPr>
            <w:r>
              <w:t xml:space="preserve">Đơn vị</w:t>
            </w:r>
          </w:p>
        </w:tc>
        <w:tc>
          <w:tcPr>
            <w:tcW w:w="6669" w:type="dxa"/>
            <w:tcMar>
              <w:top w:w="70" w:type="dxa"/>
              <w:left w:w="100" w:type="dxa"/>
              <w:bottom w:w="70" w:type="dxa"/>
              <w:right w:w="100" w:type="dxa"/>
            </w:tcMar>
          </w:tcPr>
          <w:p>
            <w:pPr>
              <w:pStyle w:val="TableText"/>
            </w:pPr>
            <w:r>
              <w:t xml:space="preserve">Đơn vị khác đơn vị gốc, chọn trong danh mục ĐVT (mã + F2)</w:t>
            </w:r>
          </w:p>
        </w:tc>
      </w:tr>
      <w:tr>
        <w:trPr>
          <w:cantSplit/>
        </w:trPr>
        <w:tc>
          <w:tcPr>
            <w:tcW w:w="2691" w:type="dxa"/>
            <w:tcMar>
              <w:top w:w="70" w:type="dxa"/>
              <w:left w:w="100" w:type="dxa"/>
              <w:bottom w:w="70" w:type="dxa"/>
              <w:right w:w="100" w:type="dxa"/>
            </w:tcMar>
          </w:tcPr>
          <w:p>
            <w:pPr>
              <w:pStyle w:val="TableText"/>
            </w:pPr>
            <w:r>
              <w:t xml:space="preserve">1 đơn vị = ? đơn vị gốc</w:t>
            </w:r>
          </w:p>
        </w:tc>
        <w:tc>
          <w:tcPr>
            <w:tcW w:w="6669" w:type="dxa"/>
            <w:tcMar>
              <w:top w:w="70" w:type="dxa"/>
              <w:left w:w="100" w:type="dxa"/>
              <w:bottom w:w="70" w:type="dxa"/>
              <w:right w:w="100" w:type="dxa"/>
            </w:tcMar>
          </w:tcPr>
          <w:p>
            <w:pPr>
              <w:pStyle w:val="TableText"/>
            </w:pPr>
            <w:r>
              <w:t xml:space="preserve">Hệ số, lớn hơn 0, tối đa 8 chữ số thập phân</w:t>
            </w:r>
          </w:p>
        </w:tc>
      </w:tr>
      <w:tr>
        <w:trPr>
          <w:cantSplit/>
        </w:trPr>
        <w:tc>
          <w:tcPr>
            <w:tcW w:w="2691" w:type="dxa"/>
            <w:tcMar>
              <w:top w:w="70" w:type="dxa"/>
              <w:left w:w="100" w:type="dxa"/>
              <w:bottom w:w="70" w:type="dxa"/>
              <w:right w:w="100" w:type="dxa"/>
            </w:tcMar>
          </w:tcPr>
          <w:p>
            <w:pPr>
              <w:pStyle w:val="TableText"/>
            </w:pPr>
            <w:r>
              <w:t xml:space="preserve">Ghi chú</w:t>
            </w:r>
          </w:p>
        </w:tc>
        <w:tc>
          <w:tcPr>
            <w:tcW w:w="6669" w:type="dxa"/>
            <w:tcMar>
              <w:top w:w="70" w:type="dxa"/>
              <w:left w:w="100" w:type="dxa"/>
              <w:bottom w:w="70" w:type="dxa"/>
              <w:right w:w="100" w:type="dxa"/>
            </w:tcMar>
          </w:tcPr>
          <w:p>
            <w:pPr>
              <w:pStyle w:val="TableText"/>
            </w:pPr>
            <w:r>
              <w:t xml:space="preserve">Tùy chọn</w:t>
            </w:r>
          </w:p>
        </w:tc>
      </w:tr>
    </w:tbl>
    <w:p>
      <w:pPr>
        <w:spacing w:after="60"/>
      </w:pPr>
    </w:p>
    <w:p>
      <w:pPr>
        <w:pStyle w:val="ListParagraph"/>
      </w:pPr>
      <w:r>
        <w:t xml:space="preserve">• Một đơn vị chỉ khai một lần; không được trùng đơn vị gốc.</w:t>
      </w:r>
    </w:p>
    <w:p>
      <w:pPr>
        <w:pStyle w:val="ListParagraph"/>
      </w:pPr>
      <w:r>
        <w:t xml:space="preserve">• Bảng được lưu </w:t>
      </w:r>
      <w:r>
        <w:rPr>
          <w:b/>
        </w:rPr>
        <w:t xml:space="preserve">cùng lúc với vật tư</w:t>
      </w:r>
      <w:r>
        <w:t xml:space="preserve"> trong một giao dịch; dòng bị xóa khỏi bảng thì bị xóa khỏi danh mục quy đổi. Sửa riêng bảng quy đổi cũng làm tăng phiên bản của vật tư (chống ghi đè như các form khác).</w:t>
      </w:r>
    </w:p>
    <w:p>
      <w:pPr>
        <w:pStyle w:val="ListParagraph"/>
      </w:pPr>
      <w:r>
        <w:t xml:space="preserve">• </w:t>
      </w:r>
      <w:r>
        <w:rPr>
          <w:b/>
        </w:rPr>
        <w:t xml:space="preserve">Đổi đơn vị gốc</w:t>
      </w:r>
      <w:r>
        <w:t xml:space="preserve"> của vật tư đã có quy đổi: phải khai báo lại bảng (hệ số cũ tính theo đơn vị gốc cũ), nếu không máy chủ từ chối. Chỉ nên đổi khi vật tư chưa có tồn.</w:t>
      </w:r>
    </w:p>
    <w:p>
      <w:pPr>
        <w:pStyle w:val="ListParagraph"/>
      </w:pPr>
      <w:r>
        <w:t xml:space="preserve">• Import Excel vật tư không có cột quy đổi: giữ nguyên các quy đổi đã lưu.</w:t>
      </w:r>
    </w:p>
    <w:p>
      <w:pPr>
        <w:pStyle w:val="ListParagraph"/>
      </w:pPr>
      <w:r>
        <w:t xml:space="preserve">• Xóa vật tư thì xóa luôn các quy đổi của nó; vật tư đã có phiếu / sổ kho thì vẫn không xóa được như trước.</w:t>
      </w:r>
    </w:p>
    <w:p>
      <w:pPr>
        <w:pStyle w:val="Heading1"/>
      </w:pPr>
      <w:r>
        <w:t xml:space="preserve">3. Trên phiếu</w:t>
      </w:r>
    </w:p>
    <w:p>
      <w:pPr>
        <w:pStyle w:val="ListParagraph"/>
      </w:pPr>
      <w:r>
        <w:t xml:space="preserve">• Chọn vật tư → ĐVT tự điền </w:t>
      </w:r>
      <w:r>
        <w:rPr>
          <w:b/>
        </w:rPr>
        <w:t xml:space="preserve">đơn vị gốc</w:t>
      </w:r>
      <w:r>
        <w:t xml:space="preserve">; mở ô ĐVT thấy các đơn vị đã quy đổi.</w:t>
      </w:r>
    </w:p>
    <w:p>
      <w:pPr>
        <w:pStyle w:val="ListParagraph"/>
      </w:pPr>
      <w:r>
        <w:t xml:space="preserve">• </w:t>
      </w:r>
      <w:r>
        <w:rPr>
          <w:b/>
        </w:rPr>
        <w:t xml:space="preserve">Đổi đơn vị trên dòng thì đơn giá tự quy đổi</w:t>
      </w:r>
      <w:r>
        <w:t xml:space="preserve"> theo tỷ lệ hệ số (đơn giá mới = đơn giá cũ × hệ số đơn vị mới ÷ hệ số đơn vị cũ), thành tiền tính lại theo số lượng hiện có. Ví dụ đơn giá 100 / TẤM đổi sang KIỆN (1 KIỆN = 10 TẤM) thành 1.000 / KIỆN. Có thể sửa lại giá sau đó.</w:t>
      </w:r>
    </w:p>
    <w:p>
      <w:pPr>
        <w:pStyle w:val="ListParagraph"/>
      </w:pPr>
      <w:r>
        <w:t xml:space="preserve">• Áp dụng cho các lưới chi tiết dùng chung: phiếu nhập kho, phiếu xuất kho, phiếu yêu cầu xuất kho, phiếu yêu cầu mua hàng, đơn mua hàng.</w:t>
      </w:r>
    </w:p>
    <w:p>
      <w:pPr>
        <w:pStyle w:val="ListParagraph"/>
      </w:pPr>
      <w:r>
        <w:t xml:space="preserve">• Máy chủ kiểm lại khi lưu (</w:t>
      </w:r>
      <w:r>
        <w:rPr>
          <w:rFonts w:ascii="Consolas" w:hAnsi="Consolas" w:cs="Consolas"/>
          <w:color w:val="164E63"/>
          <w:sz w:val="19"/>
        </w:rPr>
        <w:t xml:space="preserve">UomRules.EnsureUsableAsync</w:t>
      </w:r>
      <w:r>
        <w:t xml:space="preserve">): đơn vị phải là đơn vị gốc hoặc có quy đổi (của vật tư, hoặc quy đổi chung đang sử dụng).</w:t>
      </w:r>
    </w:p>
    <w:p>
      <w:pPr>
        <w:pStyle w:val="Heading1"/>
      </w:pPr>
      <w:r>
        <w:t xml:space="preserve">4. Quy đổi chung và danh mục Quy đổi ĐVT</w:t>
      </w:r>
    </w:p>
    <w:p>
      <w:pPr>
        <w:pStyle w:val="Normal"/>
      </w:pPr>
      <w:r>
        <w:t xml:space="preserve">Danh mục </w:t>
      </w:r>
      <w:r>
        <w:rPr>
          <w:b/>
        </w:rPr>
        <w:t xml:space="preserve">Quy đổi ĐVT</w:t>
      </w:r>
      <w:r>
        <w:t xml:space="preserve"> (</w:t>
      </w:r>
      <w:r>
        <w:rPr>
          <w:rFonts w:ascii="Consolas" w:hAnsi="Consolas" w:cs="Consolas"/>
          <w:color w:val="164E63"/>
          <w:sz w:val="19"/>
        </w:rPr>
        <w:t xml:space="preserve">inv_uom_conversion_cat</w:t>
      </w:r>
      <w:r>
        <w:t xml:space="preserve">) vẫn còn:</w:t>
      </w:r>
    </w:p>
    <w:p>
      <w:pPr>
        <w:pStyle w:val="ListParagraph"/>
      </w:pPr>
      <w:r>
        <w:t xml:space="preserve">• Dòng </w:t>
      </w:r>
      <w:r>
        <w:rPr>
          <w:b/>
        </w:rPr>
        <w:t xml:space="preserve">có mã vật tư</w:t>
      </w:r>
      <w:r>
        <w:t xml:space="preserve"> là quy đổi riêng; chính là các dòng của bảng ở tab 5 (mã </w:t>
      </w:r>
      <w:r>
        <w:rPr>
          <w:rFonts w:ascii="Consolas" w:hAnsi="Consolas" w:cs="Consolas"/>
          <w:color w:val="164E63"/>
          <w:sz w:val="19"/>
        </w:rPr>
        <w:t xml:space="preserve">VT001@KIEN</w:t>
      </w:r>
      <w:r>
        <w:t xml:space="preserve">). Cột vật tư của danh mục giờ chọn từ danh mục vật tư thật và trỏ </w:t>
      </w:r>
      <w:r>
        <w:rPr>
          <w:rFonts w:ascii="Consolas" w:hAnsi="Consolas" w:cs="Consolas"/>
          <w:color w:val="164E63"/>
          <w:sz w:val="19"/>
        </w:rPr>
        <w:t xml:space="preserve">[References&lt;Material&gt;]</w:t>
      </w:r>
      <w:r>
        <w:t xml:space="preserve">.</w:t>
      </w:r>
    </w:p>
    <w:p>
      <w:pPr>
        <w:pStyle w:val="ListParagraph"/>
      </w:pPr>
      <w:r>
        <w:t xml:space="preserve">• Dòng </w:t>
      </w:r>
      <w:r>
        <w:rPr>
          <w:b/>
        </w:rPr>
        <w:t xml:space="preserve">không có mã vật tư</w:t>
      </w:r>
      <w:r>
        <w:t xml:space="preserve"> là quy đổi </w:t>
      </w:r>
      <w:r>
        <w:rPr>
          <w:b/>
        </w:rPr>
        <w:t xml:space="preserve">chung</w:t>
      </w:r>
      <w:r>
        <w:t xml:space="preserve"> (ví dụ 1 THÙNG = 12 HỘP cho mọi vật tư có đơn vị gốc HỘP). Quy đổi riêng của vật tư được ưu tiên hơn quy đổi chung; quy đổi viết ngược chiều thì được nghịch đảo.</w:t>
      </w:r>
    </w:p>
    <w:p>
      <w:pPr>
        <w:pStyle w:val="ListParagraph"/>
      </w:pPr>
      <w:r>
        <w:t xml:space="preserve">• Mã quy đổi dài tối đa 80 ký tự (script </w:t>
      </w:r>
      <w:r>
        <w:rPr>
          <w:rFonts w:ascii="Consolas" w:hAnsi="Consolas" w:cs="Consolas"/>
          <w:color w:val="164E63"/>
          <w:sz w:val="19"/>
        </w:rPr>
        <w:t xml:space="preserve">47-material-uom-conversions.sql</w:t>
      </w:r>
      <w:r>
        <w:t xml:space="preserve"> nới từ 40 và chuyển các dòng trỏ tới vật tư không còn trong danh mục thành quy đổi chung).</w:t>
      </w:r>
    </w:p>
    <w:p>
      <w:pPr>
        <w:pStyle w:val="Heading1"/>
      </w:pPr>
      <w:r>
        <w:t xml:space="preserve">5. API và mã nguồn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Việc</w:t>
            </w:r>
          </w:p>
        </w:tc>
        <w:tc>
          <w:tcPr>
            <w:tcW w:w="4680" w:type="dxa"/>
            <w:shd w:val="clear" w:fill="DCE9F3"/>
            <w:tcMar>
              <w:top w:w="70" w:type="dxa"/>
              <w:left w:w="100" w:type="dxa"/>
              <w:bottom w:w="70" w:type="dxa"/>
              <w:right w:w="100" w:type="dxa"/>
            </w:tcMar>
          </w:tcPr>
          <w:p>
            <w:pPr>
              <w:pStyle w:val="TableHeader"/>
            </w:pPr>
            <w:r>
              <w:t xml:space="preserve">Nơi</w:t>
            </w:r>
          </w:p>
        </w:tc>
      </w:tr>
      <w:tr>
        <w:trPr>
          <w:cantSplit/>
        </w:trPr>
        <w:tc>
          <w:tcPr>
            <w:tcW w:w="4680" w:type="dxa"/>
            <w:tcMar>
              <w:top w:w="70" w:type="dxa"/>
              <w:left w:w="100" w:type="dxa"/>
              <w:bottom w:w="70" w:type="dxa"/>
              <w:right w:w="100" w:type="dxa"/>
            </w:tcMar>
          </w:tcPr>
          <w:p>
            <w:pPr>
              <w:pStyle w:val="TableText"/>
            </w:pPr>
            <w:r>
              <w:t xml:space="preserve">Vật tư kèm </w:t>
            </w:r>
            <w:r>
              <w:rPr>
                <w:rFonts w:ascii="Consolas" w:hAnsi="Consolas" w:cs="Consolas"/>
                <w:color w:val="164E63"/>
                <w:sz w:val="19"/>
              </w:rPr>
              <w:t xml:space="preserve">conversions</w:t>
            </w:r>
            <w:r>
              <w:t xml:space="preserve"> (</w:t>
            </w:r>
            <w:r>
              <w:rPr>
                <w:rFonts w:ascii="Consolas" w:hAnsi="Consolas" w:cs="Consolas"/>
                <w:color w:val="164E63"/>
                <w:sz w:val="19"/>
              </w:rPr>
              <w:t xml:space="preserve">uomCode</w:t>
            </w:r>
            <w:r>
              <w:t xml:space="preserve">, </w:t>
            </w:r>
            <w:r>
              <w:rPr>
                <w:rFonts w:ascii="Consolas" w:hAnsi="Consolas" w:cs="Consolas"/>
                <w:color w:val="164E63"/>
                <w:sz w:val="19"/>
              </w:rPr>
              <w:t xml:space="preserve">factor</w:t>
            </w:r>
            <w:r>
              <w:t xml:space="preserve">, </w:t>
            </w:r>
            <w:r>
              <w:rPr>
                <w:rFonts w:ascii="Consolas" w:hAnsi="Consolas" w:cs="Consolas"/>
                <w:color w:val="164E63"/>
                <w:sz w:val="19"/>
              </w:rPr>
              <w:t xml:space="preserve">note</w:t>
            </w:r>
            <w:r>
              <w:t xml:space="preserve">, </w:t>
            </w:r>
            <w:r>
              <w:rPr>
                <w:rFonts w:ascii="Consolas" w:hAnsi="Consolas" w:cs="Consolas"/>
                <w:color w:val="164E63"/>
                <w:sz w:val="19"/>
              </w:rPr>
              <w:t xml:space="preserve">isActive</w:t>
            </w:r>
            <w:r>
              <w:t xml:space="preserve">); gửi </w:t>
            </w:r>
            <w:r>
              <w:rPr>
                <w:rFonts w:ascii="Consolas" w:hAnsi="Consolas" w:cs="Consolas"/>
                <w:color w:val="164E63"/>
                <w:sz w:val="19"/>
              </w:rPr>
              <w:t xml:space="preserve">conversions: null</w:t>
            </w:r>
            <w:r>
              <w:t xml:space="preserve"> thì giữ nguyên</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GET/POST/PUT api/inventory/materials</w:t>
            </w:r>
            <w:r>
              <w:t xml:space="preserve">, </w:t>
            </w:r>
            <w:r>
              <w:rPr>
                <w:rFonts w:ascii="Consolas" w:hAnsi="Consolas" w:cs="Consolas"/>
                <w:color w:val="164E63"/>
                <w:sz w:val="19"/>
              </w:rPr>
              <w:t xml:space="preserve">MaterialService.AfterApplyAsync</w:t>
            </w:r>
          </w:p>
        </w:tc>
      </w:tr>
      <w:tr>
        <w:trPr>
          <w:cantSplit/>
        </w:trPr>
        <w:tc>
          <w:tcPr>
            <w:tcW w:w="4680" w:type="dxa"/>
            <w:tcMar>
              <w:top w:w="70" w:type="dxa"/>
              <w:left w:w="100" w:type="dxa"/>
              <w:bottom w:w="70" w:type="dxa"/>
              <w:right w:w="100" w:type="dxa"/>
            </w:tcMar>
          </w:tcPr>
          <w:p>
            <w:pPr>
              <w:pStyle w:val="TableText"/>
            </w:pPr>
            <w:r>
              <w:t xml:space="preserve">Danh sách ĐVT dùng được cho một vật tư (đơn vị gốc trước, kèm </w:t>
            </w:r>
            <w:r>
              <w:rPr>
                <w:rFonts w:ascii="Consolas" w:hAnsi="Consolas" w:cs="Consolas"/>
                <w:color w:val="164E63"/>
                <w:sz w:val="19"/>
              </w:rPr>
              <w:t xml:space="preserve">factor</w:t>
            </w:r>
            <w:r>
              <w:t xml:space="preserve">)</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api/lookups/materialUoms?material=VT001</w:t>
            </w:r>
            <w:r>
              <w:t xml:space="preserve">, </w:t>
            </w:r>
            <w:r>
              <w:rPr>
                <w:rFonts w:ascii="Consolas" w:hAnsi="Consolas" w:cs="Consolas"/>
                <w:color w:val="164E63"/>
                <w:sz w:val="19"/>
              </w:rPr>
              <w:t xml:space="preserve">MaterialUomLookup</w:t>
            </w:r>
          </w:p>
        </w:tc>
      </w:tr>
      <w:tr>
        <w:trPr>
          <w:cantSplit/>
        </w:trPr>
        <w:tc>
          <w:tcPr>
            <w:tcW w:w="4680" w:type="dxa"/>
            <w:tcMar>
              <w:top w:w="70" w:type="dxa"/>
              <w:left w:w="100" w:type="dxa"/>
              <w:bottom w:w="70" w:type="dxa"/>
              <w:right w:w="100" w:type="dxa"/>
            </w:tcMar>
          </w:tcPr>
          <w:p>
            <w:pPr>
              <w:pStyle w:val="TableText"/>
            </w:pPr>
            <w:r>
              <w:t xml:space="preserve">Kiểm đơn vị khi lưu phiếu</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UomRules.EnsureUsableAsync</w:t>
            </w:r>
            <w:r>
              <w:t xml:space="preserve"> (năm dịch vụ phiếu)</w:t>
            </w:r>
          </w:p>
        </w:tc>
      </w:tr>
      <w:tr>
        <w:trPr>
          <w:cantSplit/>
        </w:trPr>
        <w:tc>
          <w:tcPr>
            <w:tcW w:w="4680" w:type="dxa"/>
            <w:tcMar>
              <w:top w:w="70" w:type="dxa"/>
              <w:left w:w="100" w:type="dxa"/>
              <w:bottom w:w="70" w:type="dxa"/>
              <w:right w:w="100" w:type="dxa"/>
            </w:tcMar>
          </w:tcPr>
          <w:p>
            <w:pPr>
              <w:pStyle w:val="TableText"/>
            </w:pPr>
            <w:r>
              <w:t xml:space="preserve">Quy đổi khi ghi sổ</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StockLedgerService.FactorAsync</w:t>
            </w:r>
          </w:p>
        </w:tc>
      </w:tr>
      <w:tr>
        <w:trPr>
          <w:cantSplit/>
        </w:trPr>
        <w:tc>
          <w:tcPr>
            <w:tcW w:w="4680" w:type="dxa"/>
            <w:tcMar>
              <w:top w:w="70" w:type="dxa"/>
              <w:left w:w="100" w:type="dxa"/>
              <w:bottom w:w="70" w:type="dxa"/>
              <w:right w:w="100" w:type="dxa"/>
            </w:tcMar>
          </w:tcPr>
          <w:p>
            <w:pPr>
              <w:pStyle w:val="TableText"/>
            </w:pPr>
            <w:r>
              <w:t xml:space="preserve">Form vật tư (tab 5)</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Frontend/src/modules/inventory/categories/materials/MaterialForm.tsx</w:t>
            </w:r>
          </w:p>
        </w:tc>
      </w:tr>
      <w:tr>
        <w:trPr>
          <w:cantSplit/>
        </w:trPr>
        <w:tc>
          <w:tcPr>
            <w:tcW w:w="4680" w:type="dxa"/>
            <w:tcMar>
              <w:top w:w="70" w:type="dxa"/>
              <w:left w:w="100" w:type="dxa"/>
              <w:bottom w:w="70" w:type="dxa"/>
              <w:right w:w="100" w:type="dxa"/>
            </w:tcMar>
          </w:tcPr>
          <w:p>
            <w:pPr>
              <w:pStyle w:val="TableText"/>
            </w:pPr>
            <w:r>
              <w:t xml:space="preserve">Ô ĐVT theo vật tư và đổi giá</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Frontend/src/components/common/VoucherDetailGrid.tsx</w:t>
            </w:r>
          </w:p>
        </w:tc>
      </w:tr>
    </w:tbl>
    <w:p>
      <w:pPr>
        <w:spacing w:after="60"/>
      </w:pPr>
    </w:p>
    <w:p>
      <w:pPr>
        <w:pStyle w:val="Normal"/>
      </w:pPr>
      <w:r>
        <w:t xml:space="preserve">Lỗi thường gặp: </w:t>
      </w:r>
      <w:r>
        <w:rPr>
          <w:rFonts w:ascii="Consolas" w:hAnsi="Consolas" w:cs="Consolas"/>
          <w:color w:val="164E63"/>
          <w:sz w:val="19"/>
        </w:rPr>
        <w:t xml:space="preserve">material.conversionSameAsBase</w:t>
      </w:r>
      <w:r>
        <w:t xml:space="preserve">, </w:t>
      </w:r>
      <w:r>
        <w:rPr>
          <w:rFonts w:ascii="Consolas" w:hAnsi="Consolas" w:cs="Consolas"/>
          <w:color w:val="164E63"/>
          <w:sz w:val="19"/>
        </w:rPr>
        <w:t xml:space="preserve">material.conversionDuplicate</w:t>
      </w:r>
      <w:r>
        <w:t xml:space="preserve">, </w:t>
      </w:r>
      <w:r>
        <w:rPr>
          <w:rFonts w:ascii="Consolas" w:hAnsi="Consolas" w:cs="Consolas"/>
          <w:color w:val="164E63"/>
          <w:sz w:val="19"/>
        </w:rPr>
        <w:t xml:space="preserve">uomConversion.invalidFactor</w:t>
      </w:r>
      <w:r>
        <w:t xml:space="preserve">, </w:t>
      </w:r>
      <w:r>
        <w:rPr>
          <w:rFonts w:ascii="Consolas" w:hAnsi="Consolas" w:cs="Consolas"/>
          <w:color w:val="164E63"/>
          <w:sz w:val="19"/>
        </w:rPr>
        <w:t xml:space="preserve">uomConversion.unitUnavailable</w:t>
      </w:r>
      <w:r>
        <w:t xml:space="preserve">, </w:t>
      </w:r>
      <w:r>
        <w:rPr>
          <w:rFonts w:ascii="Consolas" w:hAnsi="Consolas" w:cs="Consolas"/>
          <w:color w:val="164E63"/>
          <w:sz w:val="19"/>
        </w:rPr>
        <w:t xml:space="preserve">material.uomChangeNeedsConversions</w:t>
      </w:r>
      <w:r>
        <w:t xml:space="preserve">, </w:t>
      </w:r>
      <w:r>
        <w:rPr>
          <w:rFonts w:ascii="Consolas" w:hAnsi="Consolas" w:cs="Consolas"/>
          <w:color w:val="164E63"/>
          <w:sz w:val="19"/>
        </w:rPr>
        <w:t xml:space="preserve">stock.uomNotConvertible</w:t>
      </w:r>
      <w:r>
        <w:t xml:space="preserve">.</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Đơn vị tính của vật tư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Đơn vị tính của vật tư và quy đổi</dc:title>
  <dc:creator>S-ERP</dc:creator>
</cp:coreProperties>
</file>