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Sửa và xóa phiếu đã ghi sổ</w:t>
      </w:r>
    </w:p>
    <w:p>
      <w:pPr>
        <w:pStyle w:val="Normal"/>
      </w:pPr>
      <w:r>
        <w:t xml:space="preserve">Phiếu nhập kho, phiếu xuất kho, phiếu xuất điều chuyển và phiếu nhập điều chuyển sau khi </w:t>
      </w:r>
      <w:r>
        <w:rPr>
          <w:b/>
        </w:rPr>
        <w:t xml:space="preserve">ghi sổ</w:t>
      </w:r>
      <w:r>
        <w:t xml:space="preserve"> vẫn sửa và xóa được, với điều kiện việc đó </w:t>
      </w:r>
      <w:r>
        <w:rPr>
          <w:b/>
        </w:rPr>
        <w:t xml:space="preserve">không làm âm kho</w:t>
      </w:r>
      <w:r>
        <w:t xml:space="preserve">. Phiếu yêu cầu, đơn mua, lệnh điều chuyển không ghi sổ nên không thuộc phần này (chúng sửa được khi còn ở trạng thái Lập chứng từ).</w:t>
      </w:r>
    </w:p>
    <w:p>
      <w:pPr>
        <w:pStyle w:val="Heading1"/>
      </w:pPr>
      <w:r>
        <w:t xml:space="preserve">1. Quyền</w:t>
      </w:r>
    </w:p>
    <w:p>
      <w:pPr>
        <w:pStyle w:val="Normal"/>
      </w:pPr>
      <w:r>
        <w:t xml:space="preserve">Quyền đặc biệt </w:t>
      </w:r>
      <w:r>
        <w:rPr>
          <w:b/>
        </w:rPr>
        <w:t xml:space="preserve">Sửa / xóa phiếu đã ghi sổ</w:t>
      </w:r>
      <w:r>
        <w:t xml:space="preserve"> (</w:t>
      </w:r>
      <w:r>
        <w:rPr>
          <w:rFonts w:ascii="Consolas" w:hAnsi="Consolas" w:cs="Consolas"/>
          <w:color w:val="164E63"/>
          <w:sz w:val="19"/>
        </w:rPr>
        <w:t xml:space="preserve">ST_EDIT_POSTED</w:t>
      </w:r>
      <w:r>
        <w:t xml:space="preserve">), cấp </w:t>
      </w:r>
      <w:r>
        <w:rPr>
          <w:b/>
        </w:rPr>
        <w:t xml:space="preserve">theo từng đơn vị cơ sở</w:t>
      </w:r>
      <w:r>
        <w:t xml:space="preserve"> như các quyền trạng thái khác (Cài đặt › Người dùng &amp; phân quyền, nhóm quyền trạng thái của chức năng). Người dùng còn cần quyền </w:t>
      </w:r>
      <w:r>
        <w:rPr>
          <w:b/>
        </w:rPr>
        <w:t xml:space="preserve">Sửa</w:t>
      </w:r>
      <w:r>
        <w:t xml:space="preserve"> (để sửa) hoặc </w:t>
      </w:r>
      <w:r>
        <w:rPr>
          <w:b/>
        </w:rPr>
        <w:t xml:space="preserve">Xóa</w:t>
      </w:r>
      <w:r>
        <w:t xml:space="preserve"> (để xóa) của chức năng. Quản trị viên có sẵn mọi quyền. Thiếu quyền, máy chủ trả lời: *Cần quyền "Sửa / xóa phiếu đã ghi sổ" của đơn vị cơ sở này…*.</w:t>
      </w:r>
    </w:p>
    <w:p>
      <w:pPr>
        <w:pStyle w:val="Heading1"/>
      </w:pPr>
      <w:r>
        <w:t xml:space="preserve">2. Sửa phiếu đã ghi sổ</w:t>
      </w:r>
    </w:p>
    <w:p>
      <w:pPr>
        <w:pStyle w:val="Normal"/>
      </w:pPr>
      <w:r>
        <w:t xml:space="preserve">Mở phiếu đã ghi sổ trên danh sách (trạng thái "Chuyển sổ kho"), sửa, bấm </w:t>
      </w:r>
      <w:r>
        <w:rPr>
          <w:b/>
        </w:rPr>
        <w:t xml:space="preserve">Lưu &amp; Cập Nhật</w:t>
      </w:r>
      <w:r>
        <w:t xml:space="preserve"> (không có nút Lưu Nháp, phiếu vẫn ở trạng thái đã ghi sổ). Máy chủ làm trong </w:t>
      </w:r>
      <w:r>
        <w:rPr>
          <w:b/>
        </w:rPr>
        <w:t xml:space="preserve">một giao dịch</w:t>
      </w:r>
      <w:r>
        <w:t xml:space="preserve">:</w:t>
      </w:r>
    </w:p>
    <w:p>
      <w:pPr>
        <w:pStyle w:val="ListParagraph"/>
      </w:pPr>
      <w:r>
        <w:t xml:space="preserve">1. kiểm tra quyền, kỳ chưa khóa, phiên bản (chống ghi đè);</w:t>
      </w:r>
    </w:p>
    <w:p>
      <w:pPr>
        <w:pStyle w:val="ListParagraph"/>
      </w:pPr>
      <w:r>
        <w:t xml:space="preserve">2. đảo bút toán sổ kho của bản cũ và ghi sổ bản mới (</w:t>
      </w:r>
      <w:r>
        <w:rPr>
          <w:rFonts w:ascii="Consolas" w:hAnsi="Consolas" w:cs="Consolas"/>
          <w:color w:val="164E63"/>
          <w:sz w:val="19"/>
        </w:rPr>
        <w:t xml:space="preserve">IStockLedger.ReplaceAsync</w:t>
      </w:r>
      <w:r>
        <w:t xml:space="preserve">);</w:t>
      </w:r>
    </w:p>
    <w:p>
      <w:pPr>
        <w:pStyle w:val="ListParagraph"/>
      </w:pPr>
      <w:r>
        <w:t xml:space="preserve">3. </w:t>
      </w:r>
      <w:r>
        <w:rPr>
          <w:b/>
        </w:rPr>
        <w:t xml:space="preserve">chỉ kiểm tra âm kho trên kết quả cuối</w:t>
      </w:r>
      <w:r>
        <w:t xml:space="preserve">, ở các kho / vật tư / lô / vị trí mà hai bản chạm tới;</w:t>
      </w:r>
    </w:p>
    <w:p>
      <w:pPr>
        <w:pStyle w:val="ListParagraph"/>
      </w:pPr>
      <w:r>
        <w:t xml:space="preserve">4. có chỗ âm thì hủy cả lần lưu: phiếu và sổ kho giữ nguyên như trước khi sửa, thông báo nêu vật tư, kho và số thiếu: *Sau khi sửa, vật tư … tại … sẽ bị âm …: các phiếu xuất khác đã lấy hàng từ phiếu này.*</w:t>
      </w:r>
    </w:p>
    <w:p>
      <w:pPr>
        <w:pStyle w:val="Normal"/>
      </w:pPr>
      <w:r>
        <w:t xml:space="preserve">Ví dụ: phiếu nhập 120, đã xuất 100 (tồn 20). Sửa phiếu nhập xuống 110 → được (tồn 10). Sửa xuống 50 → bị từ chối (tồn sẽ là −50). Phiếu xuất 100 sửa lên 105 → được nếu kho còn đủ 5; sửa lên 200 → bị từ chối.</w:t>
      </w:r>
    </w:p>
    <w:p>
      <w:pPr>
        <w:pStyle w:val="Normal"/>
      </w:pPr>
      <w:r>
        <w:t xml:space="preserve">Sửa số lượng, vật tư, kho, lô, vị trí, ngày chứng từ đều đi qua cùng cách kiểm tra. Nhật ký thay đổi ghi bản cũ và bản mới của các dòng.</w:t>
      </w:r>
    </w:p>
    <w:p>
      <w:pPr>
        <w:pStyle w:val="Heading1"/>
      </w:pPr>
      <w:r>
        <w:t xml:space="preserve">3. Xóa phiếu đã ghi sổ</w:t>
      </w:r>
    </w:p>
    <w:p>
      <w:pPr>
        <w:pStyle w:val="Normal"/>
      </w:pPr>
      <w:r>
        <w:t xml:space="preserve">Nút </w:t>
      </w:r>
      <w:r>
        <w:rPr>
          <w:b/>
        </w:rPr>
        <w:t xml:space="preserve">Xóa</w:t>
      </w:r>
      <w:r>
        <w:t xml:space="preserve"> hiện cho phiếu đã ghi sổ khi người dùng có quyền xóa và quyền ở mục 1. Máy chủ bỏ ghi sổ phiếu (đảo bút toán, </w:t>
      </w:r>
      <w:r>
        <w:rPr>
          <w:b/>
        </w:rPr>
        <w:t xml:space="preserve">kiểm tra âm kho ngay</w:t>
      </w:r>
      <w:r>
        <w:t xml:space="preserve">) rồi xóa phiếu và dòng chi tiết; trigger </w:t>
      </w:r>
      <w:r>
        <w:rPr>
          <w:rFonts w:ascii="Consolas" w:hAnsi="Consolas" w:cs="Consolas"/>
          <w:color w:val="164E63"/>
          <w:sz w:val="19"/>
        </w:rPr>
        <w:t xml:space="preserve">erp_voucher_delete_cleanup</w:t>
      </w:r>
      <w:r>
        <w:t xml:space="preserve"> dọn nốt các dòng sổ đã triệt tiêu. Phiếu nhập đã có hàng bị xuất đi thì không xóa được (tồn sẽ âm) cho tới khi xóa hoặc sửa các phiếu xuất đó.</w:t>
      </w:r>
    </w:p>
    <w:p>
      <w:pPr>
        <w:pStyle w:val="Heading1"/>
      </w:pPr>
      <w:r>
        <w:t xml:space="preserve">4. Những trường hợp bị chặn</w:t>
      </w:r>
    </w:p>
    <w:p>
      <w:pPr>
        <w:pStyle w:val="ListParagraph"/>
      </w:pPr>
      <w:r>
        <w:t xml:space="preserve">• </w:t>
      </w:r>
      <w:r>
        <w:rPr>
          <w:b/>
        </w:rPr>
        <w:t xml:space="preserve">Kỳ đã khóa</w:t>
      </w:r>
      <w:r>
        <w:t xml:space="preserve"> (theo đơn vị): không sửa / xóa phiếu của tháng đó, như mọi chứng từ.</w:t>
      </w:r>
    </w:p>
    <w:p>
      <w:pPr>
        <w:pStyle w:val="ListParagraph"/>
      </w:pPr>
      <w:r>
        <w:t xml:space="preserve">• </w:t>
      </w:r>
      <w:r>
        <w:rPr>
          <w:b/>
        </w:rPr>
        <w:t xml:space="preserve">Phiếu xuất điều chuyển đã có phiếu nhập điều chuyển</w:t>
      </w:r>
      <w:r>
        <w:t xml:space="preserve"> (chưa hủy) nhận hàng từ nó: không sửa, không xóa; cần hủy hoặc xóa các phiếu nhập trước.</w:t>
      </w:r>
    </w:p>
    <w:p>
      <w:pPr>
        <w:pStyle w:val="ListParagraph"/>
      </w:pPr>
      <w:r>
        <w:t xml:space="preserve">• </w:t>
      </w:r>
      <w:r>
        <w:rPr>
          <w:b/>
        </w:rPr>
        <w:t xml:space="preserve">Phiếu đã hủy</w:t>
      </w:r>
      <w:r>
        <w:t xml:space="preserve">: chỉ xem.</w:t>
      </w:r>
    </w:p>
    <w:p>
      <w:pPr>
        <w:pStyle w:val="ListParagraph"/>
      </w:pPr>
      <w:r>
        <w:t xml:space="preserve">• Phiếu </w:t>
      </w:r>
      <w:r>
        <w:rPr>
          <w:b/>
        </w:rPr>
        <w:t xml:space="preserve">chưa ghi sổ</w:t>
      </w:r>
      <w:r>
        <w:t xml:space="preserve"> vẫn theo quy tắc cũ: chỉ sửa / xóa khi ở trạng thái Lập chứng từ (đã duyệt hay đang chờ duyệt thì rút hoặc bỏ ghi sổ về trước).</w:t>
      </w:r>
    </w:p>
    <w:p>
      <w:pPr>
        <w:pStyle w:val="Heading1"/>
      </w:pPr>
      <w:r>
        <w:t xml:space="preserve">5. Giá vốn</w:t>
      </w:r>
    </w:p>
    <w:p>
      <w:pPr>
        <w:pStyle w:val="Normal"/>
      </w:pPr>
      <w:r>
        <w:t xml:space="preserve">Phiếu xuất tính giá vốn theo giá bình quân của kho </w:t>
      </w:r>
      <w:r>
        <w:rPr>
          <w:b/>
        </w:rPr>
        <w:t xml:space="preserve">tại thời điểm ghi sổ</w:t>
      </w:r>
      <w:r>
        <w:t xml:space="preserve">. Khi sửa hoặc xóa một phiếu nhập cũ, giá bình quân thay đổi nhưng </w:t>
      </w:r>
      <w:r>
        <w:rPr>
          <w:b/>
        </w:rPr>
        <w:t xml:space="preserve">các phiếu xuất đã ghi sổ sau đó giữ giá cũ</w:t>
      </w:r>
      <w:r>
        <w:t xml:space="preserve">, nên giá vốn có thể lệch nhẹ cho tới khi có chức năng tính lại giá bình quân theo kỳ. Phiếu xuất được sửa thì tính lại theo giá bình quân hiện tại. Phiếu nhập điều chuyển không bị ảnh hưởng vì mang giá trị của phiếu xuất.</w:t>
      </w:r>
    </w:p>
    <w:p>
      <w:pPr>
        <w:pStyle w:val="Heading1"/>
      </w:pPr>
      <w:r>
        <w:t xml:space="preserve">6. Mã nguồn</w:t>
      </w:r>
    </w:p>
    <w:tbl>
      <w:tblPr>
        <w:tblW w:w="9360" w:type="dxa"/>
        <w:tblLayout w:type="fixed"/>
        <w:tblBorders>
          <w:top w:val="single" w:sz="4" w:color="B8C9D5"/>
          <w:left w:val="single" w:sz="4" w:color="B8C9D5"/>
          <w:bottom w:val="single" w:sz="4" w:color="B8C9D5"/>
          <w:right w:val="single" w:sz="4" w:color="B8C9D5"/>
          <w:insideH w:val="single" w:sz="4" w:color="D9E1E8"/>
          <w:insideV w:val="single" w:sz="4" w:color="D9E1E8"/>
        </w:tblBorders>
      </w:tblPr>
      <w:tblGrid>
        <w:gridCol w:w="3960"/>
        <w:gridCol w:w="5400"/>
      </w:tblGrid>
      <w:tr>
        <w:trPr>
          <w:tblHeader/>
        </w:trPr>
        <w:tc>
          <w:tcPr>
            <w:tcW w:w="3960" w:type="dxa"/>
            <w:shd w:val="clear" w:fill="DCE9F3"/>
            <w:tcMar>
              <w:top w:w="70" w:type="dxa"/>
              <w:left w:w="100" w:type="dxa"/>
              <w:bottom w:w="70" w:type="dxa"/>
              <w:right w:w="100" w:type="dxa"/>
            </w:tcMar>
          </w:tcPr>
          <w:p>
            <w:pPr>
              <w:pStyle w:val="TableHeader"/>
            </w:pPr>
            <w:r>
              <w:t xml:space="preserve">Phần</w:t>
            </w:r>
          </w:p>
        </w:tc>
        <w:tc>
          <w:tcPr>
            <w:tcW w:w="5400" w:type="dxa"/>
            <w:shd w:val="clear" w:fill="DCE9F3"/>
            <w:tcMar>
              <w:top w:w="70" w:type="dxa"/>
              <w:left w:w="100" w:type="dxa"/>
              <w:bottom w:w="70" w:type="dxa"/>
              <w:right w:w="100" w:type="dxa"/>
            </w:tcMar>
          </w:tcPr>
          <w:p>
            <w:pPr>
              <w:pStyle w:val="TableHeader"/>
            </w:pPr>
            <w:r>
              <w:t xml:space="preserve">Nơi</w:t>
            </w:r>
          </w:p>
        </w:tc>
      </w:tr>
      <w:tr>
        <w:trPr>
          <w:cantSplit/>
        </w:trPr>
        <w:tc>
          <w:tcPr>
            <w:tcW w:w="3960" w:type="dxa"/>
            <w:tcMar>
              <w:top w:w="70" w:type="dxa"/>
              <w:left w:w="100" w:type="dxa"/>
              <w:bottom w:w="70" w:type="dxa"/>
              <w:right w:w="100" w:type="dxa"/>
            </w:tcMar>
          </w:tcPr>
          <w:p>
            <w:pPr>
              <w:pStyle w:val="TableText"/>
            </w:pPr>
            <w:r>
              <w:t xml:space="preserve">Quyền </w:t>
            </w:r>
            <w:r>
              <w:rPr>
                <w:rFonts w:ascii="Consolas" w:hAnsi="Consolas" w:cs="Consolas"/>
                <w:color w:val="164E63"/>
                <w:sz w:val="19"/>
              </w:rPr>
              <w:t xml:space="preserve">ST_EDIT_POSTED</w:t>
            </w:r>
          </w:p>
        </w:tc>
        <w:tc>
          <w:tcPr>
            <w:tcW w:w="5400" w:type="dxa"/>
            <w:tcMar>
              <w:top w:w="70" w:type="dxa"/>
              <w:left w:w="100" w:type="dxa"/>
              <w:bottom w:w="70" w:type="dxa"/>
              <w:right w:w="100" w:type="dxa"/>
            </w:tcMar>
          </w:tcPr>
          <w:p>
            <w:pPr>
              <w:pStyle w:val="TableText"/>
            </w:pPr>
            <w:r>
              <w:rPr>
                <w:rFonts w:ascii="Consolas" w:hAnsi="Consolas" w:cs="Consolas"/>
                <w:color w:val="164E63"/>
                <w:sz w:val="19"/>
              </w:rPr>
              <w:t xml:space="preserve">SpecialRightCatalog.StatusEditPosted</w:t>
            </w:r>
            <w:r>
              <w:t xml:space="preserve">, nhãn </w:t>
            </w:r>
            <w:r>
              <w:rPr>
                <w:rFonts w:ascii="Consolas" w:hAnsi="Consolas" w:cs="Consolas"/>
                <w:color w:val="164E63"/>
                <w:sz w:val="19"/>
              </w:rPr>
              <w:t xml:space="preserve">right.statusEditPosted.*</w:t>
            </w:r>
          </w:p>
        </w:tc>
      </w:tr>
      <w:tr>
        <w:trPr>
          <w:cantSplit/>
        </w:trPr>
        <w:tc>
          <w:tcPr>
            <w:tcW w:w="3960" w:type="dxa"/>
            <w:tcMar>
              <w:top w:w="70" w:type="dxa"/>
              <w:left w:w="100" w:type="dxa"/>
              <w:bottom w:w="70" w:type="dxa"/>
              <w:right w:w="100" w:type="dxa"/>
            </w:tcMar>
          </w:tcPr>
          <w:p>
            <w:pPr>
              <w:pStyle w:val="TableText"/>
            </w:pPr>
            <w:r>
              <w:t xml:space="preserve">Kiểm tra quyền khi sửa / xóa phiếu đã ghi sổ</w:t>
            </w:r>
          </w:p>
        </w:tc>
        <w:tc>
          <w:tcPr>
            <w:tcW w:w="5400" w:type="dxa"/>
            <w:tcMar>
              <w:top w:w="70" w:type="dxa"/>
              <w:left w:w="100" w:type="dxa"/>
              <w:bottom w:w="70" w:type="dxa"/>
              <w:right w:w="100" w:type="dxa"/>
            </w:tcMar>
          </w:tcPr>
          <w:p>
            <w:pPr>
              <w:pStyle w:val="TableText"/>
            </w:pPr>
            <w:r>
              <w:rPr>
                <w:rFonts w:ascii="Consolas" w:hAnsi="Consolas" w:cs="Consolas"/>
                <w:color w:val="164E63"/>
                <w:sz w:val="19"/>
              </w:rPr>
              <w:t xml:space="preserve">Core.Infrastructure/Modules/Inventory/Documents/PostedEdit.cs</w:t>
            </w:r>
          </w:p>
        </w:tc>
      </w:tr>
      <w:tr>
        <w:trPr>
          <w:cantSplit/>
        </w:trPr>
        <w:tc>
          <w:tcPr>
            <w:tcW w:w="3960" w:type="dxa"/>
            <w:tcMar>
              <w:top w:w="70" w:type="dxa"/>
              <w:left w:w="100" w:type="dxa"/>
              <w:bottom w:w="70" w:type="dxa"/>
              <w:right w:w="100" w:type="dxa"/>
            </w:tcMar>
          </w:tcPr>
          <w:p>
            <w:pPr>
              <w:pStyle w:val="TableText"/>
            </w:pPr>
            <w:r>
              <w:t xml:space="preserve">Đảo và ghi sổ lại, kiểm âm kho cuối</w:t>
            </w:r>
          </w:p>
        </w:tc>
        <w:tc>
          <w:tcPr>
            <w:tcW w:w="5400" w:type="dxa"/>
            <w:tcMar>
              <w:top w:w="70" w:type="dxa"/>
              <w:left w:w="100" w:type="dxa"/>
              <w:bottom w:w="70" w:type="dxa"/>
              <w:right w:w="100" w:type="dxa"/>
            </w:tcMar>
          </w:tcPr>
          <w:p>
            <w:pPr>
              <w:pStyle w:val="TableText"/>
            </w:pPr>
            <w:r>
              <w:rPr>
                <w:rFonts w:ascii="Consolas" w:hAnsi="Consolas" w:cs="Consolas"/>
                <w:color w:val="164E63"/>
                <w:sz w:val="19"/>
              </w:rPr>
              <w:t xml:space="preserve">IStockLedger.ReplaceAsync</w:t>
            </w:r>
            <w:r>
              <w:t xml:space="preserve"> (</w:t>
            </w:r>
            <w:r>
              <w:rPr>
                <w:rFonts w:ascii="Consolas" w:hAnsi="Consolas" w:cs="Consolas"/>
                <w:color w:val="164E63"/>
                <w:sz w:val="19"/>
              </w:rPr>
              <w:t xml:space="preserve">StockLedgerService</w:t>
            </w:r>
            <w:r>
              <w:t xml:space="preserve">)</w:t>
            </w:r>
          </w:p>
        </w:tc>
      </w:tr>
      <w:tr>
        <w:trPr>
          <w:cantSplit/>
        </w:trPr>
        <w:tc>
          <w:tcPr>
            <w:tcW w:w="3960" w:type="dxa"/>
            <w:tcMar>
              <w:top w:w="70" w:type="dxa"/>
              <w:left w:w="100" w:type="dxa"/>
              <w:bottom w:w="70" w:type="dxa"/>
              <w:right w:w="100" w:type="dxa"/>
            </w:tcMar>
          </w:tcPr>
          <w:p>
            <w:pPr>
              <w:pStyle w:val="TableText"/>
            </w:pPr>
            <w:r>
              <w:t xml:space="preserve">Dịch vụ phiếu</w:t>
            </w:r>
          </w:p>
        </w:tc>
        <w:tc>
          <w:tcPr>
            <w:tcW w:w="5400" w:type="dxa"/>
            <w:tcMar>
              <w:top w:w="70" w:type="dxa"/>
              <w:left w:w="100" w:type="dxa"/>
              <w:bottom w:w="70" w:type="dxa"/>
              <w:right w:w="100" w:type="dxa"/>
            </w:tcMar>
          </w:tcPr>
          <w:p>
            <w:pPr>
              <w:pStyle w:val="TableText"/>
            </w:pPr>
            <w:r>
              <w:rPr>
                <w:rFonts w:ascii="Consolas" w:hAnsi="Consolas" w:cs="Consolas"/>
                <w:color w:val="164E63"/>
                <w:sz w:val="19"/>
              </w:rPr>
              <w:t xml:space="preserve">UpdateAsync</w:t>
            </w:r>
            <w:r>
              <w:t xml:space="preserve"> / </w:t>
            </w:r>
            <w:r>
              <w:rPr>
                <w:rFonts w:ascii="Consolas" w:hAnsi="Consolas" w:cs="Consolas"/>
                <w:color w:val="164E63"/>
                <w:sz w:val="19"/>
              </w:rPr>
              <w:t xml:space="preserve">DeleteAsync</w:t>
            </w:r>
            <w:r>
              <w:t xml:space="preserve"> của </w:t>
            </w:r>
            <w:r>
              <w:rPr>
                <w:rFonts w:ascii="Consolas" w:hAnsi="Consolas" w:cs="Consolas"/>
                <w:color w:val="164E63"/>
                <w:sz w:val="19"/>
              </w:rPr>
              <w:t xml:space="preserve">GoodsReceiptService</w:t>
            </w:r>
            <w:r>
              <w:t xml:space="preserve">, </w:t>
            </w:r>
            <w:r>
              <w:rPr>
                <w:rFonts w:ascii="Consolas" w:hAnsi="Consolas" w:cs="Consolas"/>
                <w:color w:val="164E63"/>
                <w:sz w:val="19"/>
              </w:rPr>
              <w:t xml:space="preserve">GoodsIssueService</w:t>
            </w:r>
            <w:r>
              <w:t xml:space="preserve">, </w:t>
            </w:r>
            <w:r>
              <w:rPr>
                <w:rFonts w:ascii="Consolas" w:hAnsi="Consolas" w:cs="Consolas"/>
                <w:color w:val="164E63"/>
                <w:sz w:val="19"/>
              </w:rPr>
              <w:t xml:space="preserve">TransferIssueService</w:t>
            </w:r>
            <w:r>
              <w:t xml:space="preserve">, </w:t>
            </w:r>
            <w:r>
              <w:rPr>
                <w:rFonts w:ascii="Consolas" w:hAnsi="Consolas" w:cs="Consolas"/>
                <w:color w:val="164E63"/>
                <w:sz w:val="19"/>
              </w:rPr>
              <w:t xml:space="preserve">TransferReceiptService</w:t>
            </w:r>
          </w:p>
        </w:tc>
      </w:tr>
      <w:tr>
        <w:trPr>
          <w:cantSplit/>
        </w:trPr>
        <w:tc>
          <w:tcPr>
            <w:tcW w:w="3960" w:type="dxa"/>
            <w:tcMar>
              <w:top w:w="70" w:type="dxa"/>
              <w:left w:w="100" w:type="dxa"/>
              <w:bottom w:w="70" w:type="dxa"/>
              <w:right w:w="100" w:type="dxa"/>
            </w:tcMar>
          </w:tcPr>
          <w:p>
            <w:pPr>
              <w:pStyle w:val="TableText"/>
            </w:pPr>
            <w:r>
              <w:t xml:space="preserve">Màn hình</w:t>
            </w:r>
          </w:p>
        </w:tc>
        <w:tc>
          <w:tcPr>
            <w:tcW w:w="5400" w:type="dxa"/>
            <w:tcMar>
              <w:top w:w="70" w:type="dxa"/>
              <w:left w:w="100" w:type="dxa"/>
              <w:bottom w:w="70" w:type="dxa"/>
              <w:right w:w="100" w:type="dxa"/>
            </w:tcMar>
          </w:tcPr>
          <w:p>
            <w:pPr>
              <w:pStyle w:val="TableText"/>
            </w:pPr>
            <w:r>
              <w:rPr>
                <w:rFonts w:ascii="Consolas" w:hAnsi="Consolas" w:cs="Consolas"/>
                <w:color w:val="164E63"/>
                <w:sz w:val="19"/>
              </w:rPr>
              <w:t xml:space="preserve">GoodsReceiptView</w:t>
            </w:r>
            <w:r>
              <w:t xml:space="preserve">, </w:t>
            </w:r>
            <w:r>
              <w:rPr>
                <w:rFonts w:ascii="Consolas" w:hAnsi="Consolas" w:cs="Consolas"/>
                <w:color w:val="164E63"/>
                <w:sz w:val="19"/>
              </w:rPr>
              <w:t xml:space="preserve">GoodsIssueView</w:t>
            </w:r>
            <w:r>
              <w:t xml:space="preserve">, </w:t>
            </w:r>
            <w:r>
              <w:rPr>
                <w:rFonts w:ascii="Consolas" w:hAnsi="Consolas" w:cs="Consolas"/>
                <w:color w:val="164E63"/>
                <w:sz w:val="19"/>
              </w:rPr>
              <w:t xml:space="preserve">TransferVoucherView</w:t>
            </w:r>
            <w:r>
              <w:t xml:space="preserve">: </w:t>
            </w:r>
            <w:r>
              <w:rPr>
                <w:rFonts w:ascii="Consolas" w:hAnsi="Consolas" w:cs="Consolas"/>
                <w:color w:val="164E63"/>
                <w:sz w:val="19"/>
              </w:rPr>
              <w:t xml:space="preserve">canEditPosted</w:t>
            </w:r>
            <w:r>
              <w:t xml:space="preserve">, </w:t>
            </w:r>
            <w:r>
              <w:rPr>
                <w:rFonts w:ascii="Consolas" w:hAnsi="Consolas" w:cs="Consolas"/>
                <w:color w:val="164E63"/>
                <w:sz w:val="19"/>
              </w:rPr>
              <w:t xml:space="preserve">editingPosted</w:t>
            </w:r>
          </w:p>
        </w:tc>
      </w:tr>
    </w:tbl>
    <w:p>
      <w:pPr>
        <w:spacing w:after="60"/>
      </w:pPr>
    </w:p>
    <w:p>
      <w:pPr>
        <w:pStyle w:val="Normal"/>
      </w:pPr>
      <w:r>
        <w:t xml:space="preserve">Lỗi thường gặp: </w:t>
      </w:r>
      <w:r>
        <w:rPr>
          <w:rFonts w:ascii="Consolas" w:hAnsi="Consolas" w:cs="Consolas"/>
          <w:color w:val="164E63"/>
          <w:sz w:val="19"/>
        </w:rPr>
        <w:t xml:space="preserve">policy.editPostedRight</w:t>
      </w:r>
      <w:r>
        <w:t xml:space="preserve">, </w:t>
      </w:r>
      <w:r>
        <w:rPr>
          <w:rFonts w:ascii="Consolas" w:hAnsi="Consolas" w:cs="Consolas"/>
          <w:color w:val="164E63"/>
          <w:sz w:val="19"/>
        </w:rPr>
        <w:t xml:space="preserve">stock.insufficientAfterChange</w:t>
      </w:r>
      <w:r>
        <w:t xml:space="preserve">, </w:t>
      </w:r>
      <w:r>
        <w:rPr>
          <w:rFonts w:ascii="Consolas" w:hAnsi="Consolas" w:cs="Consolas"/>
          <w:color w:val="164E63"/>
          <w:sz w:val="19"/>
        </w:rPr>
        <w:t xml:space="preserve">stock.insufficient</w:t>
      </w:r>
      <w:r>
        <w:t xml:space="preserve"> (khi xóa), </w:t>
      </w:r>
      <w:r>
        <w:rPr>
          <w:rFonts w:ascii="Consolas" w:hAnsi="Consolas" w:cs="Consolas"/>
          <w:color w:val="164E63"/>
          <w:sz w:val="19"/>
        </w:rPr>
        <w:t xml:space="preserve">transferIssue.editHasReceipts</w:t>
      </w:r>
      <w:r>
        <w:t xml:space="preserve">, </w:t>
      </w:r>
      <w:r>
        <w:rPr>
          <w:rFonts w:ascii="Consolas" w:hAnsi="Consolas" w:cs="Consolas"/>
          <w:color w:val="164E63"/>
          <w:sz w:val="19"/>
        </w:rPr>
        <w:t xml:space="preserve">fiscal.locked</w:t>
      </w:r>
      <w:r>
        <w:t xml:space="preserve">.</w:t>
      </w:r>
    </w:p>
    <w:sectPr>
      <w:footerReference w:type="default" r:id="rId2"/>
      <w:pgSz w:w="11906" w:h="16838"/>
      <w:pgMar w:top="1150" w:right="1160" w:bottom="1150" w:left="1380" w:header="500" w:footer="550"/>
    </w:sectPr>
  </w:body>
</w:document>
</file>

<file path=word/footer1.xml><?xml version="1.0" encoding="utf-8"?>
<w:ftr xmlns:w="http://schemas.openxmlformats.org/wordprocessingml/2006/main">
  <w:p>
    <w:pPr>
      <w:jc w:val="right"/>
    </w:pPr>
    <w:r>
      <w:rPr>
        <w:color w:val="667788"/>
        <w:sz w:val="17"/>
      </w:rPr>
      <w:t xml:space="preserve">S-ERP - Sửa và xóa phiếu đã ghi sổ · Trang </w:t>
    </w:r>
    <w:fldSimple w:instr="PAGE"/>
  </w:p>
</w:ftr>
</file>

<file path=word/styles.xml><?xml version="1.0" encoding="utf-8"?>
<w:styles xmlns:w="http://schemas.openxmlformats.org/wordprocessingml/2006/main">
  <w:docDefaults>
    <w:rPrDefault>
      <w:rPr>
        <w:rFonts w:ascii="Aptos" w:hAnsi="Aptos" w:eastAsia="Aptos"/>
        <w:sz w:val="21"/>
        <w:lang w:val="vi-VN"/>
      </w:rPr>
    </w:rPrDefault>
    <w:pPrDefault>
      <w:pPr>
        <w:spacing w:after="130" w:line="300" w:lineRule="auto"/>
      </w:pPr>
    </w:pPrDefault>
  </w:docDefaults>
  <w:style w:type="paragraph" w:default="1" w:styleId="Normal">
    <w:name w:val="Normal"/>
  </w:style>
  <w:style w:type="paragraph" w:styleId="Title">
    <w:name w:val="Title"/>
    <w:basedOn w:val="Normal"/>
    <w:pPr>
      <w:spacing w:before="0" w:after="320"/>
      <w:keepNext/>
    </w:pPr>
    <w:rPr>
      <w:b/>
      <w:color w:val="17365D"/>
      <w:sz w:val="34"/>
    </w:rPr>
  </w:style>
  <w:style w:type="paragraph" w:styleId="Heading1">
    <w:name w:val="heading 1"/>
    <w:basedOn w:val="Normal"/>
    <w:pPr>
      <w:spacing w:before="320" w:after="150"/>
      <w:keepNext/>
      <w:outlineLvl w:val="0"/>
    </w:pPr>
    <w:rPr>
      <w:b/>
      <w:color w:val="17365D"/>
      <w:sz w:val="27"/>
    </w:rPr>
  </w:style>
  <w:style w:type="paragraph" w:styleId="Heading2">
    <w:name w:val="heading 2"/>
    <w:basedOn w:val="Normal"/>
    <w:pPr>
      <w:spacing w:before="230" w:after="110"/>
      <w:keepNext/>
      <w:outlineLvl w:val="1"/>
    </w:pPr>
    <w:rPr>
      <w:b/>
      <w:color w:val="24567A"/>
      <w:sz w:val="23"/>
    </w:rPr>
  </w:style>
  <w:style w:type="paragraph" w:styleId="Heading3">
    <w:name w:val="heading 3"/>
    <w:basedOn w:val="Normal"/>
    <w:pPr>
      <w:spacing w:before="180" w:after="90"/>
      <w:keepNext/>
      <w:outlineLvl w:val="2"/>
    </w:pPr>
    <w:rPr>
      <w:b/>
      <w:color w:val="2F6F95"/>
      <w:sz w:val="21"/>
    </w:rPr>
  </w:style>
  <w:style w:type="paragraph" w:styleId="ListParagraph">
    <w:name w:val="List Paragraph"/>
    <w:basedOn w:val="Normal"/>
    <w:pPr>
      <w:ind w:left="350" w:hanging="250"/>
      <w:spacing w:after="85"/>
    </w:pPr>
    <w:rPr/>
  </w:style>
  <w:style w:type="paragraph" w:styleId="ListNested">
    <w:name w:val="List Nested"/>
    <w:basedOn w:val="Normal"/>
    <w:pPr>
      <w:ind w:left="700" w:hanging="250"/>
      <w:spacing w:after="70"/>
    </w:pPr>
    <w:rPr/>
  </w:style>
  <w:style w:type="paragraph" w:styleId="Quote">
    <w:name w:val="Quote"/>
    <w:basedOn w:val="Normal"/>
    <w:pPr>
      <w:pBdr>
        <w:left w:val="single" w:sz="18" w:space="8" w:color="7FA6C0"/>
      </w:pBdr>
      <w:shd w:val="clear" w:fill="F1F6FA"/>
      <w:ind w:left="240" w:right="120"/>
      <w:spacing w:before="60" w:after="140"/>
    </w:pPr>
    <w:rPr>
      <w:color w:val="2E4A5E"/>
    </w:rPr>
  </w:style>
  <w:style w:type="paragraph" w:styleId="CodeBlock">
    <w:name w:val="Code Block"/>
    <w:basedOn w:val="Normal"/>
    <w:pPr>
      <w:shd w:val="clear" w:fill="F3F6F8"/>
      <w:ind w:left="120" w:right="120"/>
      <w:spacing w:before="0" w:after="0" w:line="240" w:lineRule="auto"/>
    </w:pPr>
    <w:rPr>
      <w:sz w:val="17"/>
    </w:rPr>
  </w:style>
  <w:style w:type="paragraph" w:styleId="TableHeader">
    <w:name w:val="Table Header"/>
    <w:basedOn w:val="Normal"/>
    <w:pPr>
      <w:spacing w:after="0"/>
    </w:pPr>
    <w:rPr>
      <w:b/>
      <w:sz w:val="18"/>
    </w:rPr>
  </w:style>
  <w:style w:type="paragraph" w:styleId="TableText">
    <w:name w:val="Table Text"/>
    <w:basedOn w:val="Normal"/>
    <w:pPr>
      <w:spacing w:after="0"/>
    </w:pPr>
    <w:rPr>
      <w:sz w:val="1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dc:title>Sửa và xóa phiếu đã ghi sổ</dc:title>
  <dc:creator>S-ERP</dc:creator>
</cp:coreProperties>
</file>