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Cấu trúc module Kho</w:t>
      </w:r>
    </w:p>
    <w:p>
      <w:pPr>
        <w:pStyle w:val="Quote"/>
      </w:pPr>
      <w:r>
        <w:t xml:space="preserve">Cập nhật: phiếu nhập kho, danh mục vật tư, vị trí lưu kho, lô và hạn sử dụng đã chạy trên backend; mọi phiếu ghi sổ qua </w:t>
      </w:r>
      <w:r>
        <w:rPr>
          <w:b/>
        </w:rPr>
        <w:t xml:space="preserve">sổ kho</w:t>
      </w:r>
      <w:r>
        <w:t xml:space="preserve"> (</w:t>
      </w:r>
      <w:r>
        <w:rPr>
          <w:rFonts w:ascii="Consolas" w:hAnsi="Consolas" w:cs="Consolas"/>
          <w:color w:val="164E63"/>
          <w:sz w:val="19"/>
        </w:rPr>
        <w:t xml:space="preserve">ServerService/.../Modules/Inventory/Stock/</w:t>
      </w:r>
      <w:r>
        <w:t xml:space="preserve">, bảng </w:t>
      </w:r>
      <w:r>
        <w:rPr>
          <w:rFonts w:ascii="Consolas" w:hAnsi="Consolas" w:cs="Consolas"/>
          <w:color w:val="164E63"/>
          <w:sz w:val="19"/>
        </w:rPr>
        <w:t xml:space="preserve">erp_stock_movement</w:t>
      </w:r>
      <w:r>
        <w:t xml:space="preserve"> và ba bảng tồn, script </w:t>
      </w:r>
      <w:r>
        <w:rPr>
          <w:rFonts w:ascii="Consolas" w:hAnsi="Consolas" w:cs="Consolas"/>
          <w:color w:val="164E63"/>
          <w:sz w:val="19"/>
        </w:rPr>
        <w:t xml:space="preserve">34-inventory-stock-ledger.sql</w:t>
      </w:r>
      <w:r>
        <w:t xml:space="preserve">). Giải thích chi tiết các bảng và luồng nhập kho: </w:t>
      </w:r>
      <w:r>
        <w:rPr>
          <w:rFonts w:ascii="Consolas" w:hAnsi="Consolas" w:cs="Consolas"/>
          <w:color w:val="164E63"/>
          <w:sz w:val="19"/>
        </w:rPr>
        <w:t xml:space="preserve">docs/kho/so-kho-va-phieu-nhap-kho.md</w:t>
      </w:r>
      <w:r>
        <w:t xml:space="preserve">. Phiếu xuất, điều chuyển, kiểm kê, định mức tồn và các báo cáo tồn kho vẫn dùng dữ liệu mẫu.</w:t>
      </w:r>
    </w:p>
    <w:p>
      <w:pPr>
        <w:pStyle w:val="Normal"/>
      </w:pPr>
      <w:r>
        <w:t xml:space="preserve">Mã nguồn Kho được chia theo </w:t>
      </w:r>
      <w:r>
        <w:rPr>
          <w:rFonts w:ascii="Consolas" w:hAnsi="Consolas" w:cs="Consolas"/>
          <w:color w:val="164E63"/>
          <w:sz w:val="19"/>
        </w:rPr>
        <w:t xml:space="preserve">phân hệ → nhóm → chức năng</w:t>
      </w:r>
      <w:r>
        <w:t xml:space="preserve"> ở frontend và backend.</w:t>
      </w:r>
    </w:p>
    <w:p>
      <w:pPr>
        <w:pStyle w:val="CodeBlock"/>
        <w:spacing w:before="80"/>
      </w:pPr>
      <w:r>
        <w:rPr>
          <w:rFonts w:ascii="Consolas" w:hAnsi="Consolas" w:cs="Consolas"/>
          <w:color w:val="164E63"/>
          <w:sz w:val="19"/>
        </w:rPr>
        <w:t xml:space="preserve">Frontend/src/modules/inventory/</w:t>
      </w:r>
    </w:p>
    <w:p>
      <w:pPr>
        <w:pStyle w:val="CodeBlock"/>
      </w:pPr>
      <w:r>
        <w:rPr>
          <w:rFonts w:ascii="Consolas" w:hAnsi="Consolas" w:cs="Consolas"/>
          <w:color w:val="164E63"/>
          <w:sz w:val="19"/>
        </w:rPr>
        <w:t xml:space="preserve">  InventoryModule.tsx</w:t>
      </w:r>
    </w:p>
    <w:p>
      <w:pPr>
        <w:pStyle w:val="CodeBlock"/>
      </w:pPr>
      <w:r>
        <w:rPr>
          <w:rFonts w:ascii="Consolas" w:hAnsi="Consolas" w:cs="Consolas"/>
          <w:color w:val="164E63"/>
          <w:sz w:val="19"/>
        </w:rPr>
        <w:t xml:space="preserve">  categories/&lt;chức năng&gt;/       Danh mục: vật tư, kho, đơn vị tính...</w:t>
      </w:r>
    </w:p>
    <w:p>
      <w:pPr>
        <w:pStyle w:val="CodeBlock"/>
      </w:pPr>
      <w:r>
        <w:rPr>
          <w:rFonts w:ascii="Consolas" w:hAnsi="Consolas" w:cs="Consolas"/>
          <w:color w:val="164E63"/>
          <w:sz w:val="19"/>
        </w:rPr>
        <w:t xml:space="preserve">  documents/&lt;chức năng&gt;/        Chứng từ và thao tác gắn với luồng kho</w:t>
      </w:r>
    </w:p>
    <w:p>
      <w:pPr>
        <w:pStyle w:val="CodeBlock"/>
      </w:pPr>
      <w:r>
        <w:rPr>
          <w:rFonts w:ascii="Consolas" w:hAnsi="Consolas" w:cs="Consolas"/>
          <w:color w:val="164E63"/>
          <w:sz w:val="19"/>
        </w:rPr>
        <w:t xml:space="preserve">  reports/&lt;chức năng&gt;/          Báo cáo</w:t>
      </w:r>
    </w:p>
    <w:p>
      <w:pPr>
        <w:pStyle w:val="CodeBlock"/>
      </w:pPr>
      <w:r>
        <w:rPr>
          <w:rFonts w:ascii="Consolas" w:hAnsi="Consolas" w:cs="Consolas"/>
          <w:color w:val="164E63"/>
          <w:sz w:val="19"/>
        </w:rPr>
        <w:t xml:space="preserve"> </w:t>
      </w:r>
    </w:p>
    <w:p>
      <w:pPr>
        <w:pStyle w:val="CodeBlock"/>
      </w:pPr>
      <w:r>
        <w:rPr>
          <w:rFonts w:ascii="Consolas" w:hAnsi="Consolas" w:cs="Consolas"/>
          <w:color w:val="164E63"/>
          <w:sz w:val="19"/>
        </w:rPr>
        <w:t xml:space="preserve">ServerService/{Core,Core.Application,Core.Domain,Core.Infrastructure}/Modules/Inventory/</w:t>
      </w:r>
    </w:p>
    <w:p>
      <w:pPr>
        <w:pStyle w:val="CodeBlock"/>
      </w:pPr>
      <w:r>
        <w:rPr>
          <w:rFonts w:ascii="Consolas" w:hAnsi="Consolas" w:cs="Consolas"/>
          <w:color w:val="164E63"/>
          <w:sz w:val="19"/>
        </w:rPr>
        <w:t xml:space="preserve">  Categories/&lt;chức năng&gt;/      Các danh mục đã có API và cơ sở dữ liệu</w:t>
      </w:r>
    </w:p>
    <w:p>
      <w:pPr>
        <w:pStyle w:val="CodeBlock"/>
        <w:spacing w:after="160"/>
      </w:pPr>
      <w:r>
        <w:rPr>
          <w:rFonts w:ascii="Consolas" w:hAnsi="Consolas" w:cs="Consolas"/>
          <w:color w:val="164E63"/>
          <w:sz w:val="19"/>
        </w:rPr>
        <w:t xml:space="preserve">  Documents/GoodsReceipts/      Phiếu nhập kho: API, nghiệp vụ và SQL ghi sổ</w:t>
      </w:r>
    </w:p>
    <w:p>
      <w:pPr>
        <w:pStyle w:val="Normal"/>
      </w:pPr>
      <w:r>
        <w:t xml:space="preserve">Mỗi thư mục chức năng frontend giữ giao diện, </w:t>
      </w:r>
      <w:r>
        <w:rPr>
          <w:rFonts w:ascii="Consolas" w:hAnsi="Consolas" w:cs="Consolas"/>
          <w:color w:val="164E63"/>
          <w:sz w:val="19"/>
        </w:rPr>
        <w:t xml:space="preserve">types.ts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api.ts</w:t>
      </w:r>
      <w:r>
        <w:t xml:space="preserve"> và các thành phần riêng khi cần. </w:t>
      </w:r>
      <w:r>
        <w:rPr>
          <w:rFonts w:ascii="Consolas" w:hAnsi="Consolas" w:cs="Consolas"/>
          <w:color w:val="164E63"/>
          <w:sz w:val="19"/>
        </w:rPr>
        <w:t xml:space="preserve">InventoryModule.tsx</w:t>
      </w:r>
      <w:r>
        <w:t xml:space="preserve"> chỉ nối mã chức năng với màn hình. Phiếu điều chuyển và phê duyệt dùng chung một giao diện trong </w:t>
      </w:r>
      <w:r>
        <w:rPr>
          <w:rFonts w:ascii="Consolas" w:hAnsi="Consolas" w:cs="Consolas"/>
          <w:color w:val="164E63"/>
          <w:sz w:val="19"/>
        </w:rPr>
        <w:t xml:space="preserve">documents/_shared/</w:t>
      </w:r>
      <w:r>
        <w:t xml:space="preserve">; thư mục của từng mã chức năng có lớp nối mỏng để giữ điểm vào riêng. Tính giá và tính tồn có thư mục riêng dưới </w:t>
      </w:r>
      <w:r>
        <w:rPr>
          <w:rFonts w:ascii="Consolas" w:hAnsi="Consolas" w:cs="Consolas"/>
          <w:color w:val="164E63"/>
          <w:sz w:val="19"/>
        </w:rPr>
        <w:t xml:space="preserve">documents/</w:t>
      </w:r>
      <w:r>
        <w:t xml:space="preserve"> cho đến khi có nhóm nghiệp vụ riêng.</w:t>
      </w:r>
    </w:p>
    <w:p>
      <w:pPr>
        <w:pStyle w:val="Normal"/>
      </w:pPr>
      <w:r>
        <w:t xml:space="preserve">Backend đã có API danh mục Kho và phiếu nhập kho trong </w:t>
      </w:r>
      <w:r>
        <w:rPr>
          <w:rFonts w:ascii="Consolas" w:hAnsi="Consolas" w:cs="Consolas"/>
          <w:color w:val="164E63"/>
          <w:sz w:val="19"/>
        </w:rPr>
        <w:t xml:space="preserve">Documents/GoodsReceipts/</w:t>
      </w:r>
      <w:r>
        <w:t xml:space="preserve">. Báo cáo và các chứng từ khác sẽ có thư mục tương ứng ở từng tầng khi triển khai. Namespace C# của các lớp hiện có được giữ để không đổi hợp đồng mã nguồn; đường dẫn API, mã quyền, route và tên bảng cũng giữ nguyên.</w:t>
      </w:r>
    </w:p>
    <w:p>
      <w:pPr>
        <w:pStyle w:val="Normal"/>
      </w:pPr>
      <w:r>
        <w:t xml:space="preserve">Khi thêm chức năng, chọn nhóm theo trách nhiệm, tạo thư mục riêng cho mã chức năng và đăng ký tại </w:t>
      </w:r>
      <w:r>
        <w:rPr>
          <w:rFonts w:ascii="Consolas" w:hAnsi="Consolas" w:cs="Consolas"/>
          <w:color w:val="164E63"/>
          <w:sz w:val="19"/>
        </w:rPr>
        <w:t xml:space="preserve">InventoryModule.tsx</w:t>
      </w:r>
      <w:r>
        <w:t xml:space="preserve">. Các thành phần dùng chung giữa nhiều chức năng đặt tại cấp nhóm gần nhất. Hướng dẫn danh mục đầy đủ: Thêm danh mục.</w:t>
      </w:r>
    </w:p>
    <w:sectPr>
      <w:footerReference w:type="default" r:id="rId2"/>
      <w:pgSz w:w="11906" w:h="16838"/>
      <w:pgMar w:top="1150" w:right="1160" w:bottom="1150" w:left="1380" w:header="500" w:footer="550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color w:val="667788"/>
        <w:sz w:val="17"/>
      </w:rPr>
      <w:t xml:space="preserve">S-ERP - Cấu trúc module Kho · Trang </w:t>
    </w:r>
    <w:fldSimple w:instr="PAGE"/>
  </w:p>
</w:ftr>
</file>

<file path=word/styles.xml><?xml version="1.0" encoding="utf-8"?>
<w:styles xmlns:w="http://schemas.openxmlformats.org/wordprocessingml/2006/main">
  <w:docDefaults>
    <w:rPrDefault>
      <w:rPr>
        <w:rFonts w:ascii="Aptos" w:hAnsi="Aptos" w:eastAsia="Aptos"/>
        <w:sz w:val="21"/>
        <w:lang w:val="vi-VN"/>
      </w:rPr>
    </w:rPrDefault>
    <w:pPrDefault>
      <w:pPr>
        <w:spacing w:after="130" w:line="30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before="0" w:after="320"/>
      <w:keepNext/>
    </w:pPr>
    <w:rPr>
      <w:b/>
      <w:color w:val="17365D"/>
      <w:sz w:val="34"/>
    </w:rPr>
  </w:style>
  <w:style w:type="paragraph" w:styleId="Heading1">
    <w:name w:val="heading 1"/>
    <w:basedOn w:val="Normal"/>
    <w:pPr>
      <w:spacing w:before="320" w:after="150"/>
      <w:keepNext/>
      <w:outlineLvl w:val="0"/>
    </w:pPr>
    <w:rPr>
      <w:b/>
      <w:color w:val="17365D"/>
      <w:sz w:val="27"/>
    </w:rPr>
  </w:style>
  <w:style w:type="paragraph" w:styleId="Heading2">
    <w:name w:val="heading 2"/>
    <w:basedOn w:val="Normal"/>
    <w:pPr>
      <w:spacing w:before="230" w:after="110"/>
      <w:keepNext/>
      <w:outlineLvl w:val="1"/>
    </w:pPr>
    <w:rPr>
      <w:b/>
      <w:color w:val="24567A"/>
      <w:sz w:val="23"/>
    </w:rPr>
  </w:style>
  <w:style w:type="paragraph" w:styleId="Heading3">
    <w:name w:val="heading 3"/>
    <w:basedOn w:val="Normal"/>
    <w:pPr>
      <w:spacing w:before="180" w:after="90"/>
      <w:keepNext/>
      <w:outlineLvl w:val="2"/>
    </w:pPr>
    <w:rPr>
      <w:b/>
      <w:color w:val="2F6F95"/>
      <w:sz w:val="21"/>
    </w:rPr>
  </w:style>
  <w:style w:type="paragraph" w:styleId="ListParagraph">
    <w:name w:val="List Paragraph"/>
    <w:basedOn w:val="Normal"/>
    <w:pPr>
      <w:ind w:left="350" w:hanging="250"/>
      <w:spacing w:after="85"/>
    </w:pPr>
    <w:rPr/>
  </w:style>
  <w:style w:type="paragraph" w:styleId="ListNested">
    <w:name w:val="List Nested"/>
    <w:basedOn w:val="Normal"/>
    <w:pPr>
      <w:ind w:left="700" w:hanging="250"/>
      <w:spacing w:after="70"/>
    </w:pPr>
    <w:rPr/>
  </w:style>
  <w:style w:type="paragraph" w:styleId="Quote">
    <w:name w:val="Quote"/>
    <w:basedOn w:val="Normal"/>
    <w:pPr>
      <w:pBdr>
        <w:left w:val="single" w:sz="18" w:space="8" w:color="7FA6C0"/>
      </w:pBdr>
      <w:shd w:val="clear" w:fill="F1F6FA"/>
      <w:ind w:left="240" w:right="120"/>
      <w:spacing w:before="60" w:after="140"/>
    </w:pPr>
    <w:rPr>
      <w:color w:val="2E4A5E"/>
    </w:rPr>
  </w:style>
  <w:style w:type="paragraph" w:styleId="CodeBlock">
    <w:name w:val="Code Block"/>
    <w:basedOn w:val="Normal"/>
    <w:pPr>
      <w:shd w:val="clear" w:fill="F3F6F8"/>
      <w:ind w:left="120" w:right="120"/>
      <w:spacing w:before="0" w:after="0" w:line="240" w:lineRule="auto"/>
    </w:pPr>
    <w:rPr>
      <w:sz w:val="17"/>
    </w:rPr>
  </w:style>
  <w:style w:type="paragraph" w:styleId="TableHeader">
    <w:name w:val="Table Header"/>
    <w:basedOn w:val="Normal"/>
    <w:pPr>
      <w:spacing w:after="0"/>
    </w:pPr>
    <w:rPr>
      <w:b/>
      <w:sz w:val="18"/>
    </w:rPr>
  </w:style>
  <w:style w:type="paragraph" w:styleId="TableText">
    <w:name w:val="Table Text"/>
    <w:basedOn w:val="Normal"/>
    <w:pPr>
      <w:spacing w:after="0"/>
    </w:pPr>
    <w:rPr>
      <w:sz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>
  <dc:title>Cấu trúc module Kho</dc:title>
  <dc:creator>S-ERP</dc:creator>
</cp:coreProperties>
</file>