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BIH-VI Modules A-B Addendum</w:t>
      </w:r>
    </w:p>
    <w:p>
      <w:pPr>
        <w:jc w:val="center"/>
      </w:pPr>
      <w:r>
        <w:rPr>
          <w:i/>
          <w:sz w:val="22"/>
        </w:rPr>
        <w:t>Bispectrum Stress Test and Transfer-Scale Mapping for the Sqrt-Reg EFT-Clock Branch</w:t>
      </w:r>
    </w:p>
    <w:p>
      <w:pPr>
        <w:jc w:val="center"/>
      </w:pPr>
      <w:r>
        <w:rPr>
          <w:sz w:val="18"/>
        </w:rPr>
        <w:t>Status: technical addendum to the BIH-VI report</w:t>
      </w:r>
    </w:p>
    <w:p>
      <w:pPr>
        <w:pStyle w:val="Heading1"/>
      </w:pPr>
      <w:r>
        <w:t>Abstract</w:t>
      </w:r>
    </w:p>
    <w:p>
      <w:r>
        <w:t>This addendum extends the BIH-VI technical report by documenting two post-freeze modules. Module A evaluates the non-Gaussianity risk of the BIH-VI exit switch using the dominant switch-enhanced cubic interaction. A high-resolution equilateral in-in estimate confirms that CMB-pivot-side modes remain effectively Gaussian, while exit-scale modes develop a localized, large normalized feature amplitude coincident with a deep scalar-power suppression. Module B maps the exit feature to present-day physical scales and shows that, for N_* = 55, the switch feature lies at ultra-small comoving scales, k_peak ~ 10^23 Mpc^-1, corresponding to a present-day frequency of order 10^8 Hz. The feature is therefore not a CMB or LSS target; the primary CMB-facing BIH-VI predictions remain n_s ~ 0.965, r ~ 10^-3, and alpha_s ~ -6e-4. The exit feature is retained as a secondary ultra-small-scale relic prediction.</w:t>
      </w:r>
    </w:p>
    <w:p>
      <w:pPr>
        <w:pStyle w:val="Heading1"/>
      </w:pPr>
      <w:r>
        <w:t>1. Executive Summary</w:t>
      </w:r>
    </w:p>
    <w:p>
      <w:pPr>
        <w:pStyle w:val="ListBullet"/>
      </w:pPr>
      <w:r>
        <w:t>BIH-VI remains a stable EFT-clock realization of the Sqrt-Reg entropy background, not a final microscopic substrate theory.</w:t>
      </w:r>
    </w:p>
    <w:p>
      <w:pPr>
        <w:pStyle w:val="ListBullet"/>
      </w:pPr>
      <w:r>
        <w:t>The benchmark p=3, mu=1, c_s=1, N_*=55, z_e=1/3 gives n_s=0.9652, r=1.4e-3, alpha_s=-5.8e-4, and H_c=3.8e-6 M_Pl.</w:t>
      </w:r>
    </w:p>
    <w:p>
      <w:pPr>
        <w:pStyle w:val="ListBullet"/>
      </w:pPr>
      <w:r>
        <w:t>The exit switch with Delta=0.01 is pivot-safe and numerically stable in the Mukhanov-Sasaki stress test.</w:t>
      </w:r>
    </w:p>
    <w:p>
      <w:pPr>
        <w:pStyle w:val="ListBullet"/>
      </w:pPr>
      <w:r>
        <w:t>The leading equilateral feature-bispectrum estimate gives |f_NL| ~ 3e3 at K ~ 3.58, but only where the two-point power is suppressed by ~3e-5.</w:t>
      </w:r>
    </w:p>
    <w:p>
      <w:pPr>
        <w:pStyle w:val="ListBullet"/>
      </w:pPr>
      <w:r>
        <w:t>The absolute bispectrum proxy is smooth and finite; the large normalized f_NL mainly reflects the small denominator in the conventional f_NL normalization.</w:t>
      </w:r>
    </w:p>
    <w:p>
      <w:pPr>
        <w:pStyle w:val="ListBullet"/>
      </w:pPr>
      <w:r>
        <w:t>The exit feature maps to k_peak ~ 1.3e23 Mpc^-1, or f_peak ~ 2e8 Hz; it is not a CMB-scale feature.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183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h_vi_ns_r_scan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BIH-VI parameter scan in the (n_s, r) plane. The viable island is centered near p=3, mu~1.</w:t>
      </w:r>
    </w:p>
    <w:p>
      <w:pPr>
        <w:pStyle w:val="Heading1"/>
      </w:pPr>
      <w:r>
        <w:t>2. Core BIH-VI Benchmark Equations</w:t>
      </w:r>
    </w:p>
    <w:p>
      <w:r>
        <w:t>The stable EFT-clock branch is specified by the Sqrt-Reg background and the gear profile:</w:t>
      </w:r>
    </w:p>
    <w:p>
      <w:pPr/>
      <w:r>
        <w:rPr>
          <w:rFonts w:ascii="Consolas" w:hAnsi="Consolas"/>
          <w:sz w:val="18"/>
        </w:rPr>
        <w:t>H^2 = H_c^2 y(2-y),       z = 1-y,       m(y) = mu z^p.</w:t>
      </w:r>
    </w:p>
    <w:p>
      <w:pPr/>
      <w:r>
        <w:rPr>
          <w:rFonts w:ascii="Consolas" w:hAnsi="Consolas"/>
          <w:sz w:val="18"/>
        </w:rPr>
        <w:t>epsilon_H = m(y)(1-y)/(2-y).</w:t>
      </w:r>
    </w:p>
    <w:p>
      <w:pPr/>
      <w:r>
        <w:rPr>
          <w:rFonts w:ascii="Consolas" w:hAnsi="Consolas"/>
          <w:sz w:val="18"/>
        </w:rPr>
        <w:t>S_zeta^(2) = M_Pl^2 ∫ dt d^3x a^3 [epsilon_H/c_s^2] [ zeta_dot^2 - c_s^2 (grad zeta)^2/a^2 ].</w:t>
      </w:r>
    </w:p>
    <w:p>
      <w:pPr/>
      <w:r>
        <w:rPr>
          <w:rFonts w:ascii="Consolas" w:hAnsi="Consolas"/>
          <w:sz w:val="18"/>
        </w:rPr>
        <w:t>Benchmark: p=3, mu=1, c_s=1, N_*=55, z_e=1/3.</w:t>
      </w:r>
    </w:p>
    <w:p>
      <w:pPr/>
      <w:r>
        <w:rPr>
          <w:rFonts w:ascii="Consolas" w:hAnsi="Consolas"/>
          <w:sz w:val="18"/>
        </w:rPr>
        <w:t>Predictions: n_s=0.9652, r=1.4e-3, alpha_s=-5.8e-4, H_c=3.8e-6 M_Pl.</w:t>
      </w:r>
    </w:p>
    <w:p>
      <w:pPr>
        <w:pStyle w:val="Heading1"/>
      </w:pPr>
      <w:r>
        <w:t>3. Module A: Exit-Switch Bispectrum and Non-Gaussianity</w:t>
      </w:r>
    </w:p>
    <w:p>
      <w:r>
        <w:t>Module A tests whether the exit switch produces dangerous non-Gaussianity. The calculation isolates the dominant switch-enhanced cubic interaction, which is controlled by the rapid variation of eta_H = d ln epsilon_H / dN during the transition.</w:t>
      </w:r>
    </w:p>
    <w:p>
      <w:pPr/>
      <w:r>
        <w:rPr>
          <w:rFonts w:ascii="Consolas" w:hAnsi="Consolas"/>
          <w:sz w:val="18"/>
        </w:rPr>
        <w:t>S_3^switch ⊃ (M_Pl^2/2) ∫ dt d^3x a^3 epsilon_H H eta_N zeta^2 zeta_dot,       eta_N = d eta_H/dN.</w:t>
      </w:r>
    </w:p>
    <w:p>
      <w:pPr/>
      <w:r>
        <w:rPr>
          <w:rFonts w:ascii="Consolas" w:hAnsi="Consolas"/>
          <w:sz w:val="18"/>
        </w:rPr>
        <w:t>H_int^switch ≈ -(M_Pl^2/2) ∫ d^3x a^3 epsilon_H H eta_N zeta^2 zeta_dot.</w:t>
      </w:r>
    </w:p>
    <w:p>
      <w:pPr>
        <w:ind w:left="288" w:right="288"/>
      </w:pPr>
      <w:r>
        <w:rPr>
          <w:i/>
          <w:sz w:val="18"/>
        </w:rPr>
        <w:t>This is a leading-interaction feature estimate. A full all-operator EFT bispectrum and all triangle configurations remain outside the scope of this addendum.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h_vi_ms_convergence_nonadiabatic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Switch non-adiabaticity for Delta=0.01. The transition is localized and sharp.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h_vi_fnl_local_highres_converg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High-resolution local convergence of the equilateral feature f_NL estimate near the exit-scale peak.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h_vi_absB_local_highres_converg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4. Absolute bispectrum proxy. The proxy remains smooth and finite even where normalized f_NL spikes.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h_vi_power_local_highres_converg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5. Local high-resolution power feature. The normalized f_NL peak coincides with a deep two-point suppression.</w:t>
      </w:r>
    </w:p>
    <w:p>
      <w:pPr>
        <w:pStyle w:val="Heading2"/>
      </w:pPr>
      <w:r>
        <w:t>3.1 High-Resolution Feature Result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Benchmark Value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Interpretation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K_peak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~3.58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Exit-scale feature location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Converged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|f_NL^{eq,feat}|_peak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~3.1e3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Large normalized feature amplitude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Feature estimate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P_switch/P_cubic at peak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~3.3e-5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Deep scalar-power suppression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Converged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Absolute B proxy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smooth, finite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No absolute blow-up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K&lt;1 f_NL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O(0.1) or smaller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Pivot side effectively Gaussian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</w:tbl>
    <w:p>
      <w:pPr>
        <w:pStyle w:val="Heading2"/>
      </w:pPr>
      <w:r>
        <w:t>3.2 Module A Interpretation</w:t>
      </w:r>
    </w:p>
    <w:p>
      <w:r>
        <w:t>The exit switch produces a localized equilateral-type feature. The large normalized feature amplitude occurs only where the power spectrum is deeply suppressed. The absolute bispectrum proxy does not diverge, so the result should be described as a localized exit-scale feature rather than broad-band catastrophic non-Gaussianity.</w:t>
      </w:r>
    </w:p>
    <w:p>
      <w:pPr/>
      <w:r>
        <w:rPr>
          <w:rFonts w:ascii="Consolas" w:hAnsi="Consolas"/>
          <w:sz w:val="18"/>
        </w:rPr>
        <w:t>Report wording: localized exit-scale power suppression + large normalized feature bispectrum; CMB-pivot modes remain effectively Gaussian.</w:t>
      </w:r>
    </w:p>
    <w:p>
      <w:pPr>
        <w:pStyle w:val="Heading1"/>
      </w:pPr>
      <w:r>
        <w:t>4. Module B: Transfer-Scale Mapping</w:t>
      </w:r>
    </w:p>
    <w:p>
      <w:r>
        <w:t>Module B maps the exit-scale feature to physical comoving wavenumber and present-day frequency. This is the decisive check against over-interpreting the splash as a CMB feature.</w:t>
      </w:r>
    </w:p>
    <w:p>
      <w:pPr/>
      <w:r>
        <w:rPr>
          <w:rFonts w:ascii="Consolas" w:hAnsi="Consolas"/>
          <w:sz w:val="18"/>
        </w:rPr>
        <w:t>K = k/(a_g H_g),       k_pivot = 0.05 Mpc^-1,       N_*=55.</w:t>
      </w:r>
    </w:p>
    <w:p>
      <w:pPr/>
      <w:r>
        <w:rPr>
          <w:rFonts w:ascii="Consolas" w:hAnsi="Consolas"/>
          <w:sz w:val="18"/>
        </w:rPr>
        <w:t>k_switch ≈ 3.6e22 Mpc^-1,       k_peak ≈ 1.3e23 Mpc^-1.</w:t>
      </w:r>
    </w:p>
    <w:p>
      <w:pPr/>
      <w:r>
        <w:rPr>
          <w:rFonts w:ascii="Consolas" w:hAnsi="Consolas"/>
          <w:sz w:val="18"/>
        </w:rPr>
        <w:t>f_today ≈ 1.54e-15 (k/Mpc^-1) Hz,       f_peak ≈ 2e8 Hz.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h_vi_module_b_scale_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 Physical scale map. The exit feature is exponentially far beyond CMB and LSS scales.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h_vi_module_b_exit_feature_physical_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7. Exit-feature proxy mapped to physical k. The feature lies around k~1e23 Mpc^-1.</w:t>
      </w:r>
    </w:p>
    <w:p>
      <w:pPr>
        <w:pStyle w:val="Heading2"/>
      </w:pPr>
      <w:r>
        <w:t>4.1 Module B Verdict</w:t>
      </w:r>
    </w:p>
    <w:p>
      <w:pPr>
        <w:pStyle w:val="ListBullet"/>
      </w:pPr>
      <w:r>
        <w:t>The CMB/LSS range sees the smooth BIH-VI spectrum, not the exit splash.</w:t>
      </w:r>
    </w:p>
    <w:p>
      <w:pPr>
        <w:pStyle w:val="ListBullet"/>
      </w:pPr>
      <w:r>
        <w:t>The exit feature corresponds to ultra-small comoving scales and present-day frequencies around hundreds of MHz.</w:t>
      </w:r>
    </w:p>
    <w:p>
      <w:pPr>
        <w:pStyle w:val="ListBullet"/>
      </w:pPr>
      <w:r>
        <w:t>The scalar feature is power-suppressed, so it is unlikely to generate primordial black holes in the benchmark branch.</w:t>
      </w:r>
    </w:p>
    <w:p>
      <w:pPr>
        <w:pStyle w:val="ListBullet"/>
      </w:pPr>
      <w:r>
        <w:t>The primary observational hooks remain n_s, r, and alpha_s; the exit feature is a secondary relic.</w:t>
      </w:r>
    </w:p>
    <w:p>
      <w:pPr>
        <w:pStyle w:val="Heading1"/>
      </w:pPr>
      <w:r>
        <w:t>5. Technical Translation of the Black-Oil Intuition</w:t>
      </w:r>
    </w:p>
    <w:p>
      <w:r>
        <w:t>The black-oil image is useful as an engineering metaphor only when translated into EFT terms. The oil is not a literal substance in this report. It represents the single-clock medium defined by the EFT action.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Intuition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Technical Object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black oil / material flow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EFT-clock background trajectory y(N)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surface tension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Sqrt-Reg cap H_c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viscosity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sound speed and EFT operators, including M_2^4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laminar flow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stable, Gaussian pivot-scale perturbations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splash / cavitation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localized exit-scale feature in P_zeta and B_zeta</w:t>
            </w:r>
          </w:p>
        </w:tc>
      </w:tr>
    </w:tbl>
    <w:p>
      <w:pPr>
        <w:pStyle w:val="Heading1"/>
      </w:pPr>
      <w:r>
        <w:t>6. Scope Boundaries and Residual Uncertainties</w:t>
      </w:r>
    </w:p>
    <w:p>
      <w:pPr>
        <w:pStyle w:val="Heading2"/>
      </w:pPr>
      <w:r>
        <w:t>EFT vs. microscopic completion</w:t>
      </w:r>
    </w:p>
    <w:p>
      <w:r>
        <w:t>BIH-VI proves the existence of a stable EFT branch realizing the Sqrt-Reg background. It does not derive the final UV-complete substrate theory.</w:t>
      </w:r>
    </w:p>
    <w:p>
      <w:pPr>
        <w:pStyle w:val="Heading2"/>
      </w:pPr>
      <w:r>
        <w:t>Switch-profile sensitivity</w:t>
      </w:r>
    </w:p>
    <w:p>
      <w:r>
        <w:t>Delta=0.01 is pivot-safe and numerically stable, but the transition profile is phenomenological and not yet derived from a microscopic entropy-substrate mechanism.</w:t>
      </w:r>
    </w:p>
    <w:p>
      <w:pPr>
        <w:pStyle w:val="Heading2"/>
      </w:pPr>
      <w:r>
        <w:t>Single-clock limitation</w:t>
      </w:r>
    </w:p>
    <w:p>
      <w:r>
        <w:t>The present construction is a single-clock EFT realization. Multi-field or isocurvature effects are outside this module.</w:t>
      </w:r>
    </w:p>
    <w:p>
      <w:pPr>
        <w:pStyle w:val="Heading2"/>
      </w:pPr>
      <w:r>
        <w:t>Bispectrum truncation</w:t>
      </w:r>
    </w:p>
    <w:p>
      <w:r>
        <w:t>Module A uses the dominant switch-enhanced cubic interaction. Full all-operator bispectrum templates remain future work.</w:t>
      </w:r>
    </w:p>
    <w:p>
      <w:pPr>
        <w:pStyle w:val="Heading2"/>
      </w:pPr>
      <w:r>
        <w:t>Boltzmann transfer</w:t>
      </w:r>
    </w:p>
    <w:p>
      <w:r>
        <w:t>Module B shows the exit feature is outside CMB/LSS scales. A full Boltzmann calculation is unnecessary for the feature at N_*=55 but may still be useful for the smooth pivot spectrum.</w:t>
      </w:r>
    </w:p>
    <w:p>
      <w:pPr>
        <w:pStyle w:val="Heading1"/>
      </w:pPr>
      <w:r>
        <w:t>7. Updated Prediction Hierarchy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Tier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Prediction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Primary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n_s≈0.965, r≈1.4e-3, alpha_s≈-5.8e-4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CMB-facing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Secondary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Localized exit-scale power suppression and feature bispectrum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Ultra-small-scale relic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Tertiary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Possible high-frequency induced-GW/transition relics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Speculative; amplitude likely small</w:t>
            </w:r>
          </w:p>
        </w:tc>
      </w:tr>
    </w:tbl>
    <w:p>
      <w:pPr>
        <w:pStyle w:val="Heading1"/>
      </w:pPr>
      <w:r>
        <w:t>8. Conclusion</w:t>
      </w:r>
    </w:p>
    <w:p>
      <w:r>
        <w:t>Modules A and B sharpen the BIH-VI framework without changing the core branch. The CMB-facing predictions remain smooth and pivot-safe. The exit switch produces a genuine localized feature, but it lies at ultra-small scales for the benchmark N_*=55. The correct final framing is therefore: BIH-VI contains a stable Sqrt-Reg EFT-clock branch with a viable CMB parameter island and a controlled ultra-small-scale exit relic.</w:t>
      </w:r>
    </w:p>
    <w:p>
      <w:pPr>
        <w:pStyle w:val="Heading1"/>
      </w:pPr>
      <w:r>
        <w:t>Appendix: Artifact Index</w:t>
      </w:r>
    </w:p>
    <w:p>
      <w:pPr>
        <w:pStyle w:val="ListBullet"/>
      </w:pPr>
      <w:r>
        <w:t>bih_vi_fnl_local_highres_convergence.png</w:t>
      </w:r>
    </w:p>
    <w:p>
      <w:pPr>
        <w:pStyle w:val="ListBullet"/>
      </w:pPr>
      <w:r>
        <w:t>bih_vi_absB_local_highres_convergence.png</w:t>
      </w:r>
    </w:p>
    <w:p>
      <w:pPr>
        <w:pStyle w:val="ListBullet"/>
      </w:pPr>
      <w:r>
        <w:t>bih_vi_power_local_highres_convergence.png</w:t>
      </w:r>
    </w:p>
    <w:p>
      <w:pPr>
        <w:pStyle w:val="ListBullet"/>
      </w:pPr>
      <w:r>
        <w:t>bih_vi_fnl_local_highres_scan.csv</w:t>
      </w:r>
    </w:p>
    <w:p>
      <w:pPr>
        <w:pStyle w:val="ListBullet"/>
      </w:pPr>
      <w:r>
        <w:t>bih_vi_fnl_local_highres_summary.csv</w:t>
      </w:r>
    </w:p>
    <w:p>
      <w:pPr>
        <w:pStyle w:val="ListBullet"/>
      </w:pPr>
      <w:r>
        <w:t>bih_vi_fnl_local_highres_diffs.csv</w:t>
      </w:r>
    </w:p>
    <w:p>
      <w:pPr>
        <w:pStyle w:val="ListBullet"/>
      </w:pPr>
      <w:r>
        <w:t>bih_vi_module_b_scale_map.png</w:t>
      </w:r>
    </w:p>
    <w:p>
      <w:pPr>
        <w:pStyle w:val="ListBullet"/>
      </w:pPr>
      <w:r>
        <w:t>bih_vi_module_b_exit_feature_physical_k.png</w:t>
      </w:r>
    </w:p>
    <w:p>
      <w:pPr>
        <w:pStyle w:val="ListBullet"/>
      </w:pPr>
      <w:r>
        <w:t>bih_vi_CLASS_primordial_cmb_range.csv</w:t>
      </w:r>
    </w:p>
    <w:p>
      <w:pPr>
        <w:pStyle w:val="ListBullet"/>
      </w:pPr>
      <w:r>
        <w:t>bih_vi_primordial_exit_feature_scale_map.csv</w:t>
      </w:r>
    </w:p>
    <w:p>
      <w:pPr>
        <w:pStyle w:val="ListBullet"/>
      </w:pPr>
      <w:r>
        <w:t>bih_vi_module_b_scale_mapping_summary.csv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/>
</Properties>
</file>

<file path=docProps/core.xml><?xml version="1.0" encoding="utf-8"?>
<cp:coreProperties xmlns:cp="http://schemas.openxmlformats.org/package/2006/metadata/core-properties" xmlns:dc="http://purl.org/dc/elements/1.1/">
  <dc:creator>Lou Thomas</dc:creator>
  <dc:description>Personal research archive; AI-assisted; see repository research status.</dc:description>
</cp:coreProperties>
</file>