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BIH-VI Open Work Addendum v2</w:t>
      </w:r>
    </w:p>
    <w:p>
      <w:pPr>
        <w:jc w:val="center"/>
      </w:pPr>
      <w:r>
        <w:rPr>
          <w:i/>
          <w:sz w:val="24"/>
        </w:rPr>
        <w:t>Modules A and B: Exit-Feature Non-Gaussianity, Scale Mapping, and Scope Boundaries</w:t>
      </w:r>
    </w:p>
    <w:p>
      <w:pPr>
        <w:jc w:val="center"/>
      </w:pPr>
      <w:r>
        <w:rPr>
          <w:sz w:val="20"/>
        </w:rPr>
        <w:t>Prepared as a technical supplement to the BIH-VI EFT-clock report</w:t>
      </w:r>
    </w:p>
    <w:p>
      <w:pPr>
        <w:pStyle w:val="Heading1"/>
      </w:pPr>
      <w:r>
        <w:t>Executive Summary</w:t>
      </w:r>
    </w:p>
    <w:p>
      <w:r>
        <w:t>This addendum tackles the main open work following the BIH-VI freeze: the exit-switch feature, its leading bispectrum signature, its physical scale mapping, and the residual scope boundaries. The key result is that the model remains pivot-safe while predicting a localized exit-scale feature. The feature is not an ordinary CMB-scale signal for N*=55; it maps to ultra-small comoving scales. Therefore, the primary observational predictions remain ns≈0.965, r≈10^-3, and alpha_s≈-6e-4, while the switch feature is a secondary ultra-small-scale relic of the exit transition.</w:t>
      </w:r>
    </w:p>
    <w:p>
      <w:pPr>
        <w:pStyle w:val="Heading1"/>
      </w:pPr>
      <w:r>
        <w:t>Scope Boundaries and Residual Uncertainties</w:t>
      </w:r>
    </w:p>
    <w:p>
      <w:r>
        <w:rPr>
          <w:b/>
        </w:rPr>
        <w:t xml:space="preserve">EFT vs. microscopic completion: </w:t>
      </w:r>
      <w:r>
        <w:t>BIH-VI is a stable EFT-clock realization of the Sqrt-Reg background. It is not yet a UV-complete microscopic Lagrangian for the entropy substrate.</w:t>
      </w:r>
    </w:p>
    <w:p>
      <w:r>
        <w:rPr>
          <w:b/>
        </w:rPr>
        <w:t xml:space="preserve">Switch-profile sensitivity: </w:t>
      </w:r>
      <w:r>
        <w:t>The exit profile S(y) and width Delta are phenomenological. Delta=0.01 is pivot-safe and numerically stable, but the substrate mechanism selecting this width is not derived.</w:t>
      </w:r>
    </w:p>
    <w:p>
      <w:r>
        <w:rPr>
          <w:b/>
        </w:rPr>
        <w:t xml:space="preserve">Single-clock limitation: </w:t>
      </w:r>
      <w:r>
        <w:t>The current branch is a single-clock construction. Multi-field, isocurvature, reheating-sector, or entropic-mode effects remain outside the minimal model.</w:t>
      </w:r>
    </w:p>
    <w:p>
      <w:r>
        <w:rPr>
          <w:b/>
        </w:rPr>
        <w:t xml:space="preserve">Boltzmann transfer limitation: </w:t>
      </w:r>
      <w:r>
        <w:t>The Mukhanov-Sasaki spectrum is a primordial proxy. Full CMB temperature/polarization predictions require transfer through a Boltzmann solver. Module B shows the exit feature is far outside standard CMB/LSS scales for N*=55.</w:t>
      </w:r>
    </w:p>
    <w:p>
      <w:r>
        <w:rPr>
          <w:b/>
        </w:rPr>
        <w:t xml:space="preserve">Non-Gaussianity limitation: </w:t>
      </w:r>
      <w:r>
        <w:t>Module A includes the dominant switch-enhanced cubic interaction. Folded and squeezed configurations, all EFT cubic operators, and dedicated feature templates remain future work.</w:t>
      </w:r>
    </w:p>
    <w:p>
      <w:pPr>
        <w:pStyle w:val="Heading1"/>
      </w:pPr>
      <w:r>
        <w:t>Core BIH-VI Equations</w:t>
      </w:r>
    </w:p>
    <w:p>
      <w:pPr>
        <w:ind w:left="360"/>
      </w:pPr>
      <w:r>
        <w:rPr>
          <w:rFonts w:ascii="Courier New" w:hAnsi="Courier New"/>
          <w:sz w:val="18"/>
        </w:rPr>
        <w:t>Geometric seam: chi = h^ab ∇_a R ∇_b R = 0, equivalently R = 2 G E_MS.</w:t>
      </w:r>
    </w:p>
    <w:p>
      <w:pPr>
        <w:ind w:left="360"/>
      </w:pPr>
      <w:r>
        <w:rPr>
          <w:rFonts w:ascii="Courier New" w:hAnsi="Courier New"/>
          <w:sz w:val="18"/>
        </w:rPr>
        <w:t>Sqrt-Reg entropy: S(A) = (1/4G)[sqrt(A(A-A_c)) + A_c arcosh(sqrt(A/A_c))].</w:t>
      </w:r>
    </w:p>
    <w:p>
      <w:pPr>
        <w:ind w:left="360"/>
      </w:pPr>
      <w:r>
        <w:rPr>
          <w:rFonts w:ascii="Courier New" w:hAnsi="Courier New"/>
          <w:sz w:val="18"/>
        </w:rPr>
        <w:t>Sqrt-Reg background: H^2 = H_c^2 y(2-y), 0 &lt; y &lt;= 1.</w:t>
      </w:r>
    </w:p>
    <w:p>
      <w:pPr>
        <w:ind w:left="360"/>
      </w:pPr>
      <w:r>
        <w:rPr>
          <w:rFonts w:ascii="Courier New" w:hAnsi="Courier New"/>
          <w:sz w:val="18"/>
        </w:rPr>
        <w:t>Clock gear: dy/dN = -m(y)y,  epsilon_H = m(y)(1-y)/(2-y).</w:t>
      </w:r>
    </w:p>
    <w:p>
      <w:pPr>
        <w:ind w:left="360"/>
      </w:pPr>
      <w:r>
        <w:rPr>
          <w:rFonts w:ascii="Courier New" w:hAnsi="Courier New"/>
          <w:sz w:val="18"/>
        </w:rPr>
        <w:t>EFT-clock action: S = ∫√-g[(M_Pl^2/2)R - Λ(t) - c(t)g^00 + (M_2^4/2)(δg^00)^2 + ...].</w:t>
      </w:r>
    </w:p>
    <w:p>
      <w:pPr>
        <w:ind w:left="360"/>
      </w:pPr>
      <w:r>
        <w:rPr>
          <w:rFonts w:ascii="Courier New" w:hAnsi="Courier New"/>
          <w:sz w:val="18"/>
        </w:rPr>
        <w:t>Scalar quadratic action: S_zeta^(2) = M_Pl^2 ∫ a^3 (epsilon_H/c_s^2)[zeta_dot^2 - c_s^2(grad zeta)^2/a^2].</w:t>
      </w:r>
    </w:p>
    <w:p>
      <w:pPr>
        <w:pStyle w:val="Heading1"/>
      </w:pPr>
      <w:r>
        <w:t>Parameter-Island Scan</w:t>
      </w:r>
    </w:p>
    <w:p>
      <w:r>
        <w:t>The viable EFT-clock branch uses m(y)=mu(1-y)^p. The current fiducial branch is p=3, mu=1, c_s=1, N*=55, and z_e=1/3. This gives ns=0.9652, r=1.4e-3, alpha_s=-5.8e-4, and H_c=3.8e-6 M_Pl.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r>
              <w:rPr>
                <w:b/>
                <w:sz w:val="16"/>
              </w:rPr>
              <w:t>mu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  <w:sz w:val="16"/>
              </w:rPr>
              <w:t>z*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  <w:sz w:val="16"/>
              </w:rPr>
              <w:t>y*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  <w:sz w:val="16"/>
              </w:rPr>
              <w:t>n_s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  <w:sz w:val="16"/>
              </w:rPr>
              <w:t>r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  <w:sz w:val="16"/>
              </w:rPr>
              <w:t>alpha_s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  <w:sz w:val="16"/>
              </w:rPr>
              <w:t>H_c/M_Pl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0.1372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0.8628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0.9682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2.49e-03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-4.74e-04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5.13e-06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0.7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0.1176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0.8824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0.9665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1.91e-03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-5.31e-04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4.49e-06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0.0991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0.9009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0.9652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1.40e-03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-5.78e-04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3.83e-06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0.0811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0.9189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0.9643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9.62e-04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-6.16e-04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3.17e-06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0.0702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0.9298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0.9638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7.27e-04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-6.35e-04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2.75e-06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ns_r_scan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Figure 1. BIH-VI (n_s,r) scan for the EFT-clock branch.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ns_heatmap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Figure 2. Spectral tilt heatmap over (mu,p).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r_heatmap_cl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Figure 3. Tensor-ratio heatmap over (mu,p).</w:t>
      </w:r>
    </w:p>
    <w:p>
      <w:pPr>
        <w:pStyle w:val="Heading1"/>
      </w:pPr>
      <w:r>
        <w:t>Exit Switch and Mukhanov-Sasaki Stress Test</w:t>
      </w:r>
    </w:p>
    <w:p>
      <w:r>
        <w:t>The exit switch is m(y)=mu(1-y)^3 + m_post S(y), with S(y)=1/[1+exp((y-y_g)/Delta)]. For the benchmark y_g=2/3, m_post=4, and Delta=0.01, CMB-pivot modes are effectively uncontaminated while the switch produces a localized exit-scale feature.</w:t>
      </w:r>
    </w:p>
    <w:p>
      <w:pPr>
        <w:ind w:left="360"/>
      </w:pPr>
      <w:r>
        <w:rPr>
          <w:rFonts w:ascii="Courier New" w:hAnsi="Courier New"/>
          <w:sz w:val="18"/>
        </w:rPr>
        <w:t>Mukhanov-Sasaki equation: v_k" + [c_s^2 k^2 - z_s"/z_s] v_k = 0,  z_s = a M_Pl sqrt(2 epsilon_H)/c_s.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ms_convergence_delta0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Figure 4. Mukhanov-Sasaki convergence for Delta=0.01.</w:t>
      </w:r>
    </w:p>
    <w:p>
      <w:pPr>
        <w:pStyle w:val="Heading1"/>
      </w:pPr>
      <w:r>
        <w:t>Module A: Exit-Feature Bispectrum</w:t>
      </w:r>
    </w:p>
    <w:p>
      <w:r>
        <w:t>The leading switch-enhanced cubic interaction was isolated as a feature diagnostic. It is not yet a full all-operator EFT bispectrum calculation, but it is sufficient to test whether the exit switch generates broad CMB-scale non-Gaussianity. It does not: pivot-side modes remain effectively Gaussian. The feature is localized near the exit scale.</w:t>
      </w:r>
    </w:p>
    <w:p>
      <w:pPr>
        <w:ind w:left="360"/>
      </w:pPr>
      <w:r>
        <w:rPr>
          <w:rFonts w:ascii="Courier New" w:hAnsi="Courier New"/>
          <w:sz w:val="18"/>
        </w:rPr>
        <w:t>S_3^switch ⊃ (M_Pl^2/2) ∫ dt d^3x a^3 epsilon_H dot(eta_H) zeta^2 zeta_dot.</w:t>
      </w:r>
    </w:p>
    <w:p>
      <w:pPr>
        <w:ind w:left="360"/>
      </w:pPr>
      <w:r>
        <w:rPr>
          <w:rFonts w:ascii="Courier New" w:hAnsi="Courier New"/>
          <w:sz w:val="18"/>
        </w:rPr>
        <w:t>H_int^switch ≈ -(M_Pl^2/2) ∫ d^3x a^3 epsilon_H H eta_N zeta^2 zeta_dot.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</w:tcPr>
          <w:p>
            <w:r>
              <w:rPr>
                <w:b/>
                <w:sz w:val="16"/>
              </w:rPr>
              <w:t>dN</w:t>
            </w:r>
          </w:p>
        </w:tc>
        <w:tc>
          <w:tcPr>
            <w:tcW w:type="dxa" w:w="1680"/>
            <w:vAlign w:val="center"/>
            <w:shd w:fill="D9EAF7"/>
          </w:tcPr>
          <w:p>
            <w:r>
              <w:rPr>
                <w:b/>
                <w:sz w:val="16"/>
              </w:rPr>
              <w:t>x_i</w:t>
            </w:r>
          </w:p>
        </w:tc>
        <w:tc>
          <w:tcPr>
            <w:tcW w:type="dxa" w:w="1680"/>
            <w:vAlign w:val="center"/>
            <w:shd w:fill="D9EAF7"/>
          </w:tcPr>
          <w:p>
            <w:r>
              <w:rPr>
                <w:b/>
                <w:sz w:val="16"/>
              </w:rPr>
              <w:t>K_peak</w:t>
            </w:r>
          </w:p>
        </w:tc>
        <w:tc>
          <w:tcPr>
            <w:tcW w:type="dxa" w:w="1680"/>
            <w:vAlign w:val="center"/>
            <w:shd w:fill="D9EAF7"/>
          </w:tcPr>
          <w:p>
            <w:r>
              <w:rPr>
                <w:b/>
                <w:sz w:val="16"/>
              </w:rPr>
              <w:t>|f_NL|_peak</w:t>
            </w:r>
          </w:p>
        </w:tc>
        <w:tc>
          <w:tcPr>
            <w:tcW w:type="dxa" w:w="1680"/>
            <w:vAlign w:val="center"/>
            <w:shd w:fill="D9EAF7"/>
          </w:tcPr>
          <w:p>
            <w:r>
              <w:rPr>
                <w:b/>
                <w:sz w:val="16"/>
              </w:rPr>
              <w:t>P ratio at peak</w:t>
            </w:r>
          </w:p>
        </w:tc>
        <w:tc>
          <w:tcPr>
            <w:tcW w:type="dxa" w:w="1680"/>
            <w:vAlign w:val="center"/>
            <w:shd w:fill="D9EAF7"/>
          </w:tcPr>
          <w:p>
            <w:r>
              <w:rPr>
                <w:b/>
                <w:sz w:val="16"/>
              </w:rPr>
              <w:t>|B| proxy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0.00025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3.583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3.82e+03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3.27e-05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4.13e-04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0.00050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3.583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3.46e+03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3.32e-05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3.85e-04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0.00050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3.583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3.46e+03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3.32e-05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3.85e-04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0.00100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3.567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2.52e+03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1.23e-04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3.89e-03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fnl_local_highres_converg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Figure 5. Local high-resolution equilateral feature-bispectrum convergence.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absB_local_highres_converg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Figure 6. Absolute bispectrum proxy remains smooth and finite across the feature.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power_local_highres_converg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Figure 7. Local high-resolution power suppression associated with the exit feature.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fnl_delta_sc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Figure 8. Delta-dependence of the equilateral feature-bispectrum estimate.</w:t>
      </w:r>
    </w:p>
    <w:p>
      <w:pPr>
        <w:pStyle w:val="Heading1"/>
      </w:pPr>
      <w:r>
        <w:t>Module B: Physical Scale Mapping and Transfer Implication</w:t>
      </w:r>
    </w:p>
    <w:p>
      <w:r>
        <w:t>Mapping the exit feature to present-day comoving scale shows that the feature is exponentially separated from CMB/LSS observables for N*=55. The exit feature is therefore not a LiteBIRD or ordinary CMB angular-spectrum feature; it is an ultra-small-scale relic. The CMB-facing prediction remains the smooth pivot-scale spectrum.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>
              <w:rPr>
                <w:b/>
                <w:sz w:val="16"/>
              </w:rPr>
              <w:t>k_pivot [Mpc^-1]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rPr>
                <w:b/>
                <w:sz w:val="16"/>
              </w:rPr>
              <w:t>K_pivot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rPr>
                <w:b/>
                <w:sz w:val="16"/>
              </w:rPr>
              <w:t>k_switch [Mpc^-1]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rPr>
                <w:b/>
                <w:sz w:val="16"/>
              </w:rPr>
              <w:t>k_peak [Mpc^-1]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rPr>
                <w:b/>
                <w:sz w:val="16"/>
              </w:rPr>
              <w:t>lambda_peak [m]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1.37e-24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3.65e+22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1.31e+23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1.48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module_b_scale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Figure 9. Physical scale map: CMB pivot versus exit feature.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module_b_exit_feature_physical_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Figure 10. Exit feature proxy mapped to physical wavenumber.</w:t>
      </w:r>
    </w:p>
    <w:p>
      <w:pPr>
        <w:pStyle w:val="Heading1"/>
      </w:pPr>
      <w:r>
        <w:t>Ultra-High-Frequency Gravitational-Wave Implication</w:t>
      </w:r>
    </w:p>
    <w:p>
      <w:r>
        <w:t>The present-day frequency associated with a comoving wavenumber k is approximately f ≈ 1.54e-15 (k/Mpc^-1) Hz. With k_peak ≈ 1.3e23 Mpc^-1, the feature maps to f_peak ≈ 2e8 Hz, or about 200 MHz. This lies far above standard PTA/LISA/LIGO bands and belongs to the ultra-high-frequency gravitational-wave regime. Because the scalar power is suppressed at the feature, the usual scalar-induced gravitational-wave amplitude is expected to be very small in the benchmark branch.</w:t>
      </w:r>
    </w:p>
    <w:p>
      <w:pPr>
        <w:ind w:left="360"/>
      </w:pPr>
      <w:r>
        <w:rPr>
          <w:rFonts w:ascii="Courier New" w:hAnsi="Courier New"/>
          <w:sz w:val="18"/>
        </w:rPr>
        <w:t>f_peak ≈ 1.54e-15 * k_peak[Mpc^-1] Hz ≈ 2e8 Hz.</w:t>
      </w:r>
    </w:p>
    <w:p>
      <w:pPr>
        <w:pStyle w:val="Heading1"/>
      </w:pPr>
      <w:r>
        <w:t>Updated Status and Remaining Work</w:t>
      </w:r>
    </w:p>
    <w:p>
      <w:r>
        <w:t>The BIH-VI EFT-clock branch remains viable. Module A upgrades the exit switch from a power-spectrum feature to a localized non-Gaussian feature, while Module B demotes that feature from a CMB/LSS target to an ultra-small-scale relic. The robust CMB-facing prediction is still ns≈0.965, r≈10^-3, and alpha_s≈-6e-4. The leading remaining work is folded/squeezed bispectrum configurations, all cubic EFT operators, a dedicated feature-template analysis, and a microscopic substrate completion.</w:t>
      </w:r>
    </w:p>
    <w:p>
      <w:pPr>
        <w:pStyle w:val="Heading1"/>
      </w:pPr>
      <w:r>
        <w:t>Selected References</w:t>
      </w:r>
    </w:p>
    <w:p>
      <w:r>
        <w:t>Hayward, S. A. Unified first law and gravitational energy in spherical symmetry.</w:t>
      </w:r>
    </w:p>
    <w:p>
      <w:r>
        <w:t>Cai, R. G. and Kim, S. P. First law of thermodynamics and Friedmann equations of Friedmann-Robertson-Walker universe.</w:t>
      </w:r>
    </w:p>
    <w:p>
      <w:r>
        <w:t>Cheung, C. et al. The Effective Field Theory of Inflation.</w:t>
      </w:r>
    </w:p>
    <w:p>
      <w:r>
        <w:t>Maldacena, J. Non-Gaussian features of primordial fluctuations in single field inflationary models.</w:t>
      </w:r>
    </w:p>
    <w:p>
      <w:r>
        <w:t>Planck Collaboration. Planck 2018 results. X. Constraints on inflation.</w:t>
      </w:r>
    </w:p>
    <w:p>
      <w:r>
        <w:t>BICEP/Keck Collaboration. Improved constraints on primordial gravitational waves using Planck, WMAP, and BICEP/Keck.</w:t>
      </w:r>
    </w:p>
    <w:p>
      <w:r>
        <w:t>LiteBIRD Collaboration. Probing cosmic inflation with LiteBIRD.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4F81BD" w:themeColor="accent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>
  <dc:creator>Lou Thomas</dc:creator>
  <dc:description>Personal research archive; AI-assisted; see repository research status.</dc:description>
</cp:coreProperties>
</file>