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rPr/>
      </w:pPr>
      <w:r>
        <w:rPr/>
        <w:t>Réponses au TP : Segmentation de marché avec l'algorithme Mean Shift</w:t>
      </w:r>
    </w:p>
    <w:p>
      <w:pPr>
        <w:pStyle w:val="Heading2"/>
        <w:numPr>
          <w:ilvl w:val="1"/>
          <w:numId w:val="1"/>
        </w:numPr>
        <w:bidi w:val="0"/>
        <w:ind w:hanging="0" w:start="0"/>
        <w:rPr/>
      </w:pPr>
      <w:r>
        <w:rPr/>
        <w:t>Partie 1 — Préparation</w:t>
      </w:r>
    </w:p>
    <w:p>
      <w:pPr>
        <w:pStyle w:val="BodyText"/>
        <w:bidi w:val="0"/>
        <w:rPr/>
      </w:pPr>
      <w:r>
        <w:rPr>
          <w:b/>
        </w:rPr>
        <w:t xml:space="preserve">Réponse </w:t>
      </w:r>
      <w:r>
        <w:rPr>
          <w:b/>
        </w:rPr>
        <w:t>1</w:t>
      </w:r>
      <w:r>
        <w:rPr>
          <w:b/>
        </w:rPr>
        <w:t xml:space="preserve"> :</w:t>
      </w:r>
      <w:r>
        <w:rPr/>
        <w:t xml:space="preserve"> On utilise le module </w:t>
      </w:r>
      <w:r>
        <w:rPr>
          <w:rFonts w:ascii="Liberation Mono" w:hAnsi="Liberation Mono"/>
        </w:rPr>
        <w:t>csv</w:t>
      </w:r>
      <w:r>
        <w:rPr/>
        <w:t xml:space="preserve"> car le fichier </w:t>
      </w:r>
      <w:r>
        <w:rPr>
          <w:rFonts w:ascii="Liberation Mono" w:hAnsi="Liberation Mono"/>
        </w:rPr>
        <w:t>sales.csv</w:t>
      </w:r>
      <w:r>
        <w:rPr/>
        <w:t xml:space="preserve"> contient une première ligne avec des chaînes de caractères (les en-têtes de colonnes) et une première colonne contenant un identifiant (Store id). Le module </w:t>
      </w:r>
      <w:r>
        <w:rPr>
          <w:rFonts w:ascii="Liberation Mono" w:hAnsi="Liberation Mono"/>
        </w:rPr>
        <w:t>csv</w:t>
      </w:r>
      <w:r>
        <w:rPr/>
        <w:t xml:space="preserve"> nous permet de parcourir le fichier ligne par ligne et d'isoler manuellement les en-têtes et l'identifiant.</w:t>
      </w:r>
    </w:p>
    <w:p>
      <w:pPr>
        <w:pStyle w:val="Heading2"/>
        <w:numPr>
          <w:ilvl w:val="1"/>
          <w:numId w:val="1"/>
        </w:numPr>
        <w:bidi w:val="0"/>
        <w:ind w:hanging="0" w:start="0"/>
        <w:rPr/>
      </w:pPr>
      <w:r>
        <w:rPr/>
        <w:t>Partie 2 — Chargement et préparation des données</w:t>
      </w:r>
    </w:p>
    <w:p>
      <w:pPr>
        <w:pStyle w:val="BodyText"/>
        <w:bidi w:val="0"/>
        <w:rPr/>
      </w:pPr>
      <w:r>
        <w:rPr>
          <w:b/>
        </w:rPr>
        <w:t xml:space="preserve">Réponse </w:t>
      </w:r>
      <w:r>
        <w:rPr>
          <w:b/>
        </w:rPr>
        <w:t>2</w:t>
      </w:r>
      <w:r>
        <w:rPr>
          <w:b/>
        </w:rPr>
        <w:t xml:space="preserve"> :</w:t>
      </w:r>
      <w:r>
        <w:rPr/>
        <w:t xml:space="preserve"> La première colonne représente l'identifiant du magasin (</w:t>
      </w:r>
      <w:r>
        <w:rPr>
          <w:rFonts w:ascii="Liberation Mono" w:hAnsi="Liberation Mono"/>
        </w:rPr>
        <w:t>Store id</w:t>
      </w:r>
      <w:r>
        <w:rPr/>
        <w:t>). On l'exclut car c'est une donnée identifiante et non une variable décrivant les ventes. L'inclure fausserait complètement le calcul des distances dans l'algorithme de clustering (Mean Shift) car la différence numérique entre deux IDs de magasins n'a aucune signification marketing.</w:t>
      </w:r>
    </w:p>
    <w:p>
      <w:pPr>
        <w:pStyle w:val="BodyText"/>
        <w:bidi w:val="0"/>
        <w:rPr/>
      </w:pPr>
      <w:r>
        <w:rPr>
          <w:b/>
        </w:rPr>
        <w:t xml:space="preserve">Réponse </w:t>
      </w:r>
      <w:r>
        <w:rPr>
          <w:b/>
        </w:rPr>
        <w:t>3</w:t>
      </w:r>
      <w:r>
        <w:rPr>
          <w:b/>
        </w:rPr>
        <w:t>:</w:t>
      </w:r>
      <w:r>
        <w:rPr/>
        <w:t xml:space="preserve"> </w:t>
      </w:r>
      <w:r>
        <w:rPr>
          <w:rFonts w:ascii="Liberation Mono" w:hAnsi="Liberation Mono"/>
        </w:rPr>
        <w:t>X.shape</w:t>
      </w:r>
      <w:r>
        <w:rPr/>
        <w:t xml:space="preserve"> retourne </w:t>
      </w:r>
      <w:r>
        <w:rPr>
          <w:rFonts w:ascii="Liberation Mono" w:hAnsi="Liberation Mono"/>
        </w:rPr>
        <w:t>(440, 6)</w:t>
      </w:r>
      <w:r>
        <w:rPr/>
        <w:t xml:space="preserve">. Il y a donc </w:t>
      </w:r>
      <w:r>
        <w:rPr>
          <w:b/>
        </w:rPr>
        <w:t>440 magasins</w:t>
      </w:r>
      <w:r>
        <w:rPr/>
        <w:t xml:space="preserve"> et </w:t>
      </w:r>
      <w:r>
        <w:rPr>
          <w:b/>
        </w:rPr>
        <w:t>6 variables</w:t>
      </w:r>
      <w:r>
        <w:rPr/>
        <w:t>. On dit que les données sont "à 6 dimensions" car chaque magasin est décrit par 6 valeurs (les quantités vendues pour les 6 types de hauts). Lors du clustering, l'algorithme placera chaque magasin dans un espace mathématique à 6 axes pour évaluer les distances.</w:t>
      </w:r>
    </w:p>
    <w:p>
      <w:pPr>
        <w:pStyle w:val="Heading2"/>
        <w:numPr>
          <w:ilvl w:val="1"/>
          <w:numId w:val="1"/>
        </w:numPr>
        <w:bidi w:val="0"/>
        <w:ind w:hanging="0" w:start="0"/>
        <w:rPr/>
      </w:pPr>
      <w:r>
        <w:rPr/>
        <w:t>Partie 3 — Entraînement du modèle Mean Shift</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itredetableau"/>
              <w:bidi w:val="0"/>
              <w:jc w:val="start"/>
              <w:rPr/>
            </w:pPr>
            <w:r>
              <w:rPr/>
              <w:t>Quantile</w:t>
            </w:r>
          </w:p>
        </w:tc>
        <w:tc>
          <w:tcPr>
            <w:tcW w:w="4820" w:type="dxa"/>
            <w:tcBorders>
              <w:top w:val="single" w:sz="4" w:space="0" w:color="000000"/>
              <w:start w:val="single" w:sz="4" w:space="0" w:color="000000"/>
              <w:bottom w:val="single" w:sz="4" w:space="0" w:color="000000"/>
              <w:end w:val="single" w:sz="4" w:space="0" w:color="000000"/>
            </w:tcBorders>
          </w:tcPr>
          <w:p>
            <w:pPr>
              <w:pStyle w:val="Titredetableau"/>
              <w:bidi w:val="0"/>
              <w:jc w:val="start"/>
              <w:rPr/>
            </w:pPr>
            <w:r>
              <w:rPr/>
              <w:t>Nombre de clusters obtenus</w:t>
            </w:r>
          </w:p>
        </w:tc>
      </w:tr>
      <w:tr>
        <w:trPr/>
        <w:tc>
          <w:tcPr>
            <w:tcW w:w="4818" w:type="dxa"/>
            <w:tcBorders>
              <w:start w:val="single" w:sz="4" w:space="0" w:color="000000"/>
              <w:bottom w:val="single" w:sz="4" w:space="0" w:color="000000"/>
            </w:tcBorders>
          </w:tcPr>
          <w:p>
            <w:pPr>
              <w:pStyle w:val="Contenudetableau"/>
              <w:bidi w:val="0"/>
              <w:jc w:val="start"/>
              <w:rPr/>
            </w:pPr>
            <w:r>
              <w:rPr/>
              <w:t>0.3</w:t>
            </w:r>
          </w:p>
        </w:tc>
        <w:tc>
          <w:tcPr>
            <w:tcW w:w="4820" w:type="dxa"/>
            <w:tcBorders>
              <w:start w:val="single" w:sz="4" w:space="0" w:color="000000"/>
              <w:bottom w:val="single" w:sz="4" w:space="0" w:color="000000"/>
              <w:end w:val="single" w:sz="4" w:space="0" w:color="000000"/>
            </w:tcBorders>
          </w:tcPr>
          <w:p>
            <w:pPr>
              <w:pStyle w:val="Contenudetableau"/>
              <w:bidi w:val="0"/>
              <w:jc w:val="start"/>
              <w:rPr/>
            </w:pPr>
            <w:r>
              <w:rPr/>
              <w:t>13</w:t>
            </w:r>
          </w:p>
        </w:tc>
      </w:tr>
      <w:tr>
        <w:trPr/>
        <w:tc>
          <w:tcPr>
            <w:tcW w:w="4818" w:type="dxa"/>
            <w:tcBorders>
              <w:start w:val="single" w:sz="4" w:space="0" w:color="000000"/>
              <w:bottom w:val="single" w:sz="4" w:space="0" w:color="000000"/>
            </w:tcBorders>
          </w:tcPr>
          <w:p>
            <w:pPr>
              <w:pStyle w:val="Contenudetableau"/>
              <w:bidi w:val="0"/>
              <w:jc w:val="start"/>
              <w:rPr/>
            </w:pPr>
            <w:r>
              <w:rPr/>
              <w:t>0.8</w:t>
            </w:r>
          </w:p>
        </w:tc>
        <w:tc>
          <w:tcPr>
            <w:tcW w:w="4820" w:type="dxa"/>
            <w:tcBorders>
              <w:start w:val="single" w:sz="4" w:space="0" w:color="000000"/>
              <w:bottom w:val="single" w:sz="4" w:space="0" w:color="000000"/>
              <w:end w:val="single" w:sz="4" w:space="0" w:color="000000"/>
            </w:tcBorders>
          </w:tcPr>
          <w:p>
            <w:pPr>
              <w:pStyle w:val="Contenudetableau"/>
              <w:bidi w:val="0"/>
              <w:jc w:val="start"/>
              <w:rPr/>
            </w:pPr>
            <w:r>
              <w:rPr/>
              <w:t>9</w:t>
            </w:r>
          </w:p>
        </w:tc>
      </w:tr>
      <w:tr>
        <w:trPr/>
        <w:tc>
          <w:tcPr>
            <w:tcW w:w="4818" w:type="dxa"/>
            <w:tcBorders>
              <w:start w:val="single" w:sz="4" w:space="0" w:color="000000"/>
              <w:bottom w:val="single" w:sz="4" w:space="0" w:color="000000"/>
            </w:tcBorders>
          </w:tcPr>
          <w:p>
            <w:pPr>
              <w:pStyle w:val="Contenudetableau"/>
              <w:bidi w:val="0"/>
              <w:jc w:val="start"/>
              <w:rPr/>
            </w:pPr>
            <w:r>
              <w:rPr/>
              <w:t>0.95</w:t>
            </w:r>
          </w:p>
        </w:tc>
        <w:tc>
          <w:tcPr>
            <w:tcW w:w="4820" w:type="dxa"/>
            <w:tcBorders>
              <w:start w:val="single" w:sz="4" w:space="0" w:color="000000"/>
              <w:bottom w:val="single" w:sz="4" w:space="0" w:color="000000"/>
              <w:end w:val="single" w:sz="4" w:space="0" w:color="000000"/>
            </w:tcBorders>
          </w:tcPr>
          <w:p>
            <w:pPr>
              <w:pStyle w:val="Contenudetableau"/>
              <w:bidi w:val="0"/>
              <w:jc w:val="start"/>
              <w:rPr/>
            </w:pPr>
            <w:r>
              <w:rPr/>
              <w:t>6</w:t>
            </w:r>
          </w:p>
        </w:tc>
      </w:tr>
    </w:tbl>
    <w:p>
      <w:pPr>
        <w:pStyle w:val="BodyText"/>
        <w:bidi w:val="0"/>
        <w:rPr/>
      </w:pPr>
      <w:r>
        <w:rPr/>
      </w:r>
    </w:p>
    <w:p>
      <w:pPr>
        <w:pStyle w:val="BodyText"/>
        <w:bidi w:val="0"/>
        <w:rPr/>
      </w:pPr>
      <w:r>
        <w:rPr>
          <w:b/>
        </w:rPr>
        <w:t xml:space="preserve">Réponse </w:t>
      </w:r>
      <w:r>
        <w:rPr>
          <w:b/>
        </w:rPr>
        <w:t>5</w:t>
      </w:r>
      <w:r>
        <w:rPr>
          <w:b/>
        </w:rPr>
        <w:t xml:space="preserve"> :</w:t>
      </w:r>
      <w:r>
        <w:rPr/>
        <w:t xml:space="preserve"> </w:t>
      </w:r>
      <w:r>
        <w:rPr>
          <w:b/>
        </w:rPr>
        <w:t>Oui</w:t>
      </w:r>
      <w:r>
        <w:rPr/>
        <w:t>, les résultats confirment parfaitement cette règle. En augmentant le quantile (de 0.3 à 0.8, puis à 0.95), la "bandwidth" (la taille du rayon de recherche autour de chaque point) devient plus grande. Par conséquent, les points ont tendance à converger vers un nombre plus restreint de centres denses, ce qui diminue le nombre final de clusters (passant de 13 à 9, puis à 6).</w:t>
      </w:r>
    </w:p>
    <w:p>
      <w:pPr>
        <w:pStyle w:val="Heading2"/>
        <w:numPr>
          <w:ilvl w:val="1"/>
          <w:numId w:val="1"/>
        </w:numPr>
        <w:bidi w:val="0"/>
        <w:ind w:hanging="0" w:start="0"/>
        <w:rPr/>
      </w:pPr>
      <w:r>
        <w:rPr/>
        <w:t>Partie 4 — Visualisation</w:t>
      </w:r>
    </w:p>
    <w:p>
      <w:pPr>
        <w:pStyle w:val="BodyText"/>
        <w:bidi w:val="0"/>
        <w:rPr/>
      </w:pPr>
      <w:r>
        <w:rPr>
          <w:b/>
        </w:rPr>
        <w:t xml:space="preserve">Réponse </w:t>
      </w:r>
      <w:r>
        <w:rPr>
          <w:b/>
        </w:rPr>
        <w:t>6</w:t>
      </w:r>
      <w:r>
        <w:rPr>
          <w:b/>
        </w:rPr>
        <w:t>:</w:t>
      </w:r>
      <w:r>
        <w:rPr/>
        <w:t xml:space="preserve"> Il faudrait modifier la sélection des colonnes du tableau numpy en utilisant une liste d'indices : </w:t>
      </w:r>
      <w:r>
        <w:rPr>
          <w:rFonts w:ascii="Liberation Mono" w:hAnsi="Liberation Mono"/>
        </w:rPr>
        <w:t>cluster_centers_2d = cluster_centers[:, [0, 3]]</w:t>
      </w:r>
      <w:r>
        <w:rPr/>
        <w:t xml:space="preserve"> (Et il faudrait aussi modifier la ligne </w:t>
      </w:r>
      <w:r>
        <w:rPr>
          <w:rFonts w:ascii="Liberation Mono" w:hAnsi="Liberation Mono"/>
        </w:rPr>
        <w:t>plt.scatter(X[:, 1], X[:, 2], ...)</w:t>
      </w:r>
      <w:r>
        <w:rPr/>
        <w:t xml:space="preserve"> en </w:t>
      </w:r>
      <w:r>
        <w:rPr>
          <w:rFonts w:ascii="Liberation Mono" w:hAnsi="Liberation Mono"/>
        </w:rPr>
        <w:t>plt.scatter(X[:, 0], X[:, 3], ...)</w:t>
      </w:r>
      <w:r>
        <w:rPr/>
        <w:t xml:space="preserve"> pour que les points de données correspondent).</w:t>
      </w:r>
    </w:p>
    <w:p>
      <w:pPr>
        <w:pStyle w:val="BodyText"/>
        <w:bidi w:val="0"/>
        <w:rPr/>
      </w:pPr>
      <w:r>
        <w:rPr>
          <w:b/>
        </w:rPr>
        <w:t xml:space="preserve">Réponse </w:t>
      </w:r>
      <w:r>
        <w:rPr>
          <w:b/>
        </w:rPr>
        <w:t>7</w:t>
      </w:r>
      <w:r>
        <w:rPr>
          <w:b/>
        </w:rPr>
        <w:t>:</w:t>
      </w:r>
      <w:r>
        <w:rPr/>
        <w:t xml:space="preserve"> On perd toute l'information relative aux ventes des 4 autres catégories de vêtements. Deux clusters qui semblent proches ou qui se chevauchent sur ce graphique 2D peuvent être très éloignés "en réalité" (dans l'espace à 6 dimensions), car ils pourraient présenter des volumes de ventes complètement opposés sur les 4 dimensions que nous ne voyons pas.</w:t>
      </w:r>
    </w:p>
    <w:p>
      <w:pPr>
        <w:pStyle w:val="Heading2"/>
        <w:numPr>
          <w:ilvl w:val="1"/>
          <w:numId w:val="1"/>
        </w:numPr>
        <w:bidi w:val="0"/>
        <w:ind w:hanging="0" w:start="0"/>
        <w:rPr/>
      </w:pPr>
      <w:r>
        <w:rPr/>
        <w:t>Partie 5 — Interprétation métier</w:t>
      </w:r>
    </w:p>
    <w:p>
      <w:pPr>
        <w:pStyle w:val="BodyText"/>
        <w:bidi w:val="0"/>
        <w:rPr/>
      </w:pPr>
      <w:r>
        <w:rPr>
          <w:b/>
        </w:rPr>
        <w:t xml:space="preserve">Réponse </w:t>
      </w:r>
      <w:r>
        <w:rPr>
          <w:b/>
        </w:rPr>
        <w:t>8</w:t>
      </w:r>
      <w:r>
        <w:rPr>
          <w:b/>
        </w:rPr>
        <w:t>:</w:t>
      </w:r>
    </w:p>
    <w:p>
      <w:pPr>
        <w:pStyle w:val="BodyText"/>
        <w:numPr>
          <w:ilvl w:val="0"/>
          <w:numId w:val="2"/>
        </w:numPr>
        <w:tabs>
          <w:tab w:val="left" w:pos="709" w:leader="none"/>
        </w:tabs>
        <w:bidi w:val="0"/>
        <w:ind w:hanging="283" w:start="709"/>
        <w:rPr/>
      </w:pPr>
      <w:r>
        <w:rPr/>
        <w:t xml:space="preserve">(Basé sur les centres obtenus) </w:t>
      </w:r>
      <w:r>
        <w:rPr>
          <w:b/>
        </w:rPr>
        <w:t>Le cluster 2</w:t>
      </w:r>
      <w:r>
        <w:rPr/>
        <w:t xml:space="preserve"> regroupe des magasins qui vendent énormément de T-shirts (plus de 100 000 unités, loin devant les autres articles). Ce sont probablement des boutiques spécialisées dans les vêtements basiques ou situées dans des zones très touristiques où le T-shirt est l'article phare.</w:t>
      </w:r>
    </w:p>
    <w:p>
      <w:pPr>
        <w:pStyle w:val="BodyText"/>
        <w:numPr>
          <w:ilvl w:val="0"/>
          <w:numId w:val="2"/>
        </w:numPr>
        <w:tabs>
          <w:tab w:val="left" w:pos="709" w:leader="none"/>
        </w:tabs>
        <w:bidi w:val="0"/>
        <w:ind w:hanging="283" w:start="709"/>
        <w:rPr/>
      </w:pPr>
      <w:r>
        <w:rPr>
          <w:b/>
        </w:rPr>
        <w:t>Le cluster 7</w:t>
      </w:r>
      <w:r>
        <w:rPr/>
        <w:t xml:space="preserve"> regroupe des magasins réalisant d'excellentes ventes en "Halter top" (dos nu) et en débardeurs ("Tank top"), mais très peu en pulls ("Sweater") ou cols roulés ("Turtleneck"). Il s'agit certainement de boutiques situées dans des régions chaudes ou balnéaires, très orientées vers la mode féminine estivale.</w:t>
      </w:r>
    </w:p>
    <w:p>
      <w:pPr>
        <w:pStyle w:val="BodyText"/>
        <w:bidi w:val="0"/>
        <w:rPr/>
      </w:pPr>
      <w:r>
        <w:rPr>
          <w:b/>
        </w:rPr>
        <w:t xml:space="preserve">Réponse </w:t>
      </w:r>
      <w:r>
        <w:rPr>
          <w:b/>
        </w:rPr>
        <w:t>9</w:t>
      </w:r>
      <w:r>
        <w:rPr>
          <w:b/>
        </w:rPr>
        <w:t>:</w:t>
      </w:r>
      <w:r>
        <w:rPr/>
        <w:t xml:space="preserve"> L'algorithme K-Means exige que nous définissions à l'avance le nombre de clusters (K). Or, dans ce contexte métier, nous ignorions complètement combien de "profils de magasins" existaient dans notre réseau de boutiques. L'algorithme Mean Shift est idéal dans ce cas car il découvre automatiquement le nombre optimal de segments de marché de façon purement basée sur la densité des ventes, sans nous forcer à imposer un nombre de segments arbitraire.</w:t>
      </w:r>
    </w:p>
    <w:p>
      <w:pPr>
        <w:pStyle w:val="Heading2"/>
        <w:numPr>
          <w:ilvl w:val="1"/>
          <w:numId w:val="1"/>
        </w:numPr>
        <w:bidi w:val="0"/>
        <w:ind w:hanging="0" w:start="0"/>
        <w:rPr/>
      </w:pPr>
      <w:r>
        <w:rPr/>
        <w:t>Partie 6 — Pour aller plus loin (bonus)</w:t>
      </w:r>
    </w:p>
    <w:p>
      <w:pPr>
        <w:pStyle w:val="BodyText"/>
        <w:bidi w:val="0"/>
        <w:rPr/>
      </w:pPr>
      <w:r>
        <w:rPr>
          <w:b/>
        </w:rPr>
        <w:t xml:space="preserve">Réponse </w:t>
      </w:r>
      <w:r>
        <w:rPr>
          <w:b/>
        </w:rPr>
        <w:t>10</w:t>
      </w:r>
      <w:r>
        <w:rPr>
          <w:b/>
        </w:rPr>
        <w:t>:</w:t>
      </w:r>
      <w:r>
        <w:rPr/>
        <w:t xml:space="preserve"> Le score de silhouette obtenu pour quantile=0.8 est de </w:t>
      </w:r>
      <w:r>
        <w:rPr>
          <w:b/>
        </w:rPr>
        <w:t>0.5266</w:t>
      </w:r>
      <w:r>
        <w:rPr/>
        <w:t>. C'est un score moyen à bon (proche de 0.5, sur une échelle de -1 à 1). Cela indique que les clusters sont relativement denses et bien séparés. Le choix de quantile=0.8 est donc tout à fait pertinent pour segmenter ces magasins, offrant des profils clairs.</w:t>
      </w:r>
    </w:p>
    <w:p>
      <w:pPr>
        <w:pStyle w:val="BodyText"/>
        <w:bidi w:val="0"/>
        <w:rPr/>
      </w:pPr>
      <w:r>
        <w:rPr>
          <w:b/>
        </w:rPr>
        <w:t xml:space="preserve">Réponse </w:t>
      </w:r>
      <w:r>
        <w:rPr>
          <w:b/>
        </w:rPr>
        <w:t>11</w:t>
      </w:r>
      <w:r>
        <w:rPr>
          <w:b/>
        </w:rPr>
        <w:t>:</w:t>
      </w:r>
    </w:p>
    <w:p>
      <w:pPr>
        <w:pStyle w:val="BodyText"/>
        <w:numPr>
          <w:ilvl w:val="0"/>
          <w:numId w:val="3"/>
        </w:numPr>
        <w:tabs>
          <w:tab w:val="left" w:pos="709" w:leader="none"/>
        </w:tabs>
        <w:bidi w:val="0"/>
        <w:ind w:hanging="283" w:start="709"/>
        <w:rPr/>
      </w:pPr>
      <w:r>
        <w:rPr/>
        <w:t>Quantile: 0.3 | Clusters: 13 | Silhouette Score: 0.3829</w:t>
      </w:r>
    </w:p>
    <w:p>
      <w:pPr>
        <w:pStyle w:val="BodyText"/>
        <w:numPr>
          <w:ilvl w:val="0"/>
          <w:numId w:val="3"/>
        </w:numPr>
        <w:tabs>
          <w:tab w:val="left" w:pos="709" w:leader="none"/>
        </w:tabs>
        <w:bidi w:val="0"/>
        <w:ind w:hanging="283" w:start="709"/>
        <w:rPr/>
      </w:pPr>
      <w:r>
        <w:rPr/>
        <w:t>Quantile: 0.8 | Clusters: 9 | Silhouette Score: 0.5266</w:t>
      </w:r>
    </w:p>
    <w:p>
      <w:pPr>
        <w:pStyle w:val="BodyText"/>
        <w:numPr>
          <w:ilvl w:val="0"/>
          <w:numId w:val="3"/>
        </w:numPr>
        <w:tabs>
          <w:tab w:val="left" w:pos="709" w:leader="none"/>
        </w:tabs>
        <w:bidi w:val="0"/>
        <w:ind w:hanging="283" w:start="709"/>
        <w:rPr/>
      </w:pPr>
      <w:r>
        <w:rPr/>
        <w:t>Quantile: 0.95 | Clusters: 6 | Silhouette Score: 0.6977</w:t>
      </w:r>
    </w:p>
    <w:p>
      <w:pPr>
        <w:pStyle w:val="BodyText"/>
        <w:bidi w:val="0"/>
        <w:rPr/>
      </w:pPr>
      <w:r>
        <w:rPr/>
        <w:t xml:space="preserve">Le quantile </w:t>
      </w:r>
      <w:r>
        <w:rPr>
          <w:b/>
        </w:rPr>
        <w:t>0.95</w:t>
      </w:r>
      <w:r>
        <w:rPr/>
        <w:t xml:space="preserve"> donne le meilleur score de silhouette (0.70) mais produit seulement 6 clusters, ce qui pourrait être trop "grossier" d'un point de vue métier. Le quantile </w:t>
      </w:r>
      <w:r>
        <w:rPr>
          <w:b/>
        </w:rPr>
        <w:t>0.8</w:t>
      </w:r>
      <w:r>
        <w:rPr/>
        <w:t xml:space="preserve"> (9 clusters avec un score de 0.53) semble offrir un excellent </w:t>
      </w:r>
      <w:r>
        <w:rPr>
          <w:b/>
        </w:rPr>
        <w:t>compromis</w:t>
      </w:r>
      <w:r>
        <w:rPr/>
        <w:t xml:space="preserve"> : il permet d'avoir une segmentation marketing suffisamment fine pour identifier des comportements de vente très spécifiques (comme le cluster 7 très "estival"), tout en conservant une bonne cohérence mathématique des groupes formés.</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AR PL SungtiL GB" w:cs="Noto Sans Devanagari"/>
      <w:color w:val="auto"/>
      <w:kern w:val="0"/>
      <w:sz w:val="24"/>
      <w:szCs w:val="24"/>
      <w:lang w:val="en-US" w:eastAsia="zh-CN" w:bidi="hi-IN"/>
    </w:rPr>
  </w:style>
  <w:style w:type="paragraph" w:styleId="Heading1">
    <w:name w:val="heading 1"/>
    <w:basedOn w:val="Titre"/>
    <w:next w:val="BodyText"/>
    <w:qFormat/>
    <w:pPr>
      <w:numPr>
        <w:ilvl w:val="0"/>
        <w:numId w:val="1"/>
      </w:numPr>
      <w:spacing w:before="240" w:after="120"/>
      <w:outlineLvl w:val="0"/>
    </w:pPr>
    <w:rPr>
      <w:b/>
      <w:bCs/>
      <w:sz w:val="36"/>
      <w:szCs w:val="36"/>
    </w:rPr>
  </w:style>
  <w:style w:type="paragraph" w:styleId="Heading2">
    <w:name w:val="heading 2"/>
    <w:basedOn w:val="Titre"/>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LibreOffice/26.2.5.2$Linux_X86_64 LibreOffice_project/6d2b0d33fb0f5da53a12f98bed3e9973e56ff1f0</Application>
  <AppVersion>15.0000</AppVersion>
  <Pages>2</Pages>
  <Words>727</Words>
  <Characters>3820</Characters>
  <CharactersWithSpaces>4517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2026-10-02T19:27:22Z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