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jc w:val="center"/>
        <w:ind w:left="-566" w:firstLine="0"/>
        <w:spacing w:before="0" w:after="0" w:line="240" w:lineRule="auto"/>
      </w:pPr>
      <w:r>
        <w:rPr>
          <w:rFonts w:ascii="Liberation Serif" w:hAnsi="Liberation Serif" w:eastAsia="Liberation Serif" w:cs="Liberation Serif"/>
          <w:sz w:val="32"/>
          <w:szCs w:val="32"/>
          <w:u w:val="single"/>
        </w:rPr>
        <w:t xml:space="preserve">Cours </w:t>
      </w:r>
      <w:r>
        <w:rPr>
          <w:rFonts w:ascii="Liberation Serif" w:hAnsi="Liberation Serif" w:eastAsia="Liberation Serif" w:cs="Liberation Serif"/>
          <w:sz w:val="32"/>
          <w:szCs w:val="32"/>
          <w:u w:val="single"/>
        </w:rPr>
        <w:t xml:space="preserve">Powershell pour les débutants</w:t>
      </w:r>
    </w:p>
    <w:p>
      <w:pPr>
        <w:jc w:val="left"/>
        <w:ind w:firstLine="0"/>
        <w:spacing w:before="0" w:after="0" w:line="240" w:lineRule="auto"/>
      </w:pPr>
    </w:p>
    <w:p>
      <w:pPr>
        <w:jc w:val="center"/>
        <w:ind w:left="-396" w:firstLine="0"/>
        <w:spacing w:before="0" w:after="0" w:line="240" w:lineRule="auto"/>
      </w:pPr>
      <w:r>
        <w:rPr>
          <w:rFonts w:ascii="Liberation Serif" w:hAnsi="Liberation Serif" w:eastAsia="Liberation Serif" w:cs="Liberation Serif"/>
          <w:sz w:val="24"/>
          <w:szCs w:val="24"/>
          <w:u w:val="single"/>
        </w:rPr>
        <w:t xml:space="preserve">I. Structure des commandes</w:t>
      </w:r>
    </w:p>
    <w:p>
      <w:pPr>
        <w:jc w:val="left"/>
        <w:ind w:left="-566" w:firstLine="0"/>
        <w:spacing w:before="0" w:after="0" w:line="240" w:lineRule="auto"/>
      </w:pPr>
    </w:p>
    <w:p>
      <w:pPr>
        <w:jc w:val="left"/>
        <w:ind w:left="-396" w:firstLine="0"/>
        <w:spacing w:before="0" w:after="0" w:line="240" w:lineRule="auto"/>
      </w:pPr>
      <w:r>
        <w:rPr>
          <w:rFonts w:ascii="Liberation Serif" w:hAnsi="Liberation Serif" w:eastAsia="Liberation Serif" w:cs="Liberation Serif"/>
          <w:sz w:val="24"/>
          <w:szCs w:val="24"/>
          <w:u w:val="single"/>
        </w:rPr>
        <w:t xml:space="preserve">1. Applets de commande «cmdlet»</w:t>
      </w:r>
    </w:p>
    <w:p>
      <w:pPr>
        <w:jc w:val="left"/>
        <w:ind w:left="-566" w:firstLine="0"/>
        <w:spacing w:before="0" w:after="0" w:line="240" w:lineRule="auto"/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  <w:r>
        <w:rPr>
          <w:rFonts w:ascii="Liberation Serif" w:hAnsi="Liberation Serif" w:eastAsia="Liberation Serif" w:cs="Liberation Serif"/>
          <w:sz w:val="24"/>
          <w:szCs w:val="24"/>
        </w:rPr>
        <w:t xml:space="preserve">Sur Powershell, les applets de commandes utilisent une paire composés de: </w:t>
      </w:r>
      <w:r>
        <w:rPr>
          <w:rFonts w:ascii="Liberation Serif" w:hAnsi="Liberation Serif" w:eastAsia="Liberation Serif" w:cs="Liberation Serif"/>
          <w:sz w:val="24"/>
          <w:szCs w:val="24"/>
        </w:rPr>
        <w:t xml:space="preserve"> </w:t>
      </w:r>
      <w:r>
        <w:rPr>
          <w:rFonts w:ascii="Liberation Serif" w:hAnsi="Liberation Serif" w:eastAsia="Liberation Serif" w:cs="Liberation Serif"/>
          <w:color w:val="ce181e"/>
          <w:sz w:val="24"/>
          <w:szCs w:val="24"/>
        </w:rPr>
        <w:t xml:space="preserve">verbe</w:t>
      </w:r>
      <w:r>
        <w:rPr>
          <w:rFonts w:ascii="Liberation Serif" w:hAnsi="Liberation Serif" w:eastAsia="Liberation Serif" w:cs="Liberation Serif"/>
          <w:color w:val="127622"/>
          <w:sz w:val="24"/>
          <w:szCs w:val="24"/>
        </w:rPr>
        <w:t xml:space="preserve">-</w:t>
      </w:r>
      <w:r>
        <w:rPr>
          <w:rFonts w:ascii="Liberation Serif" w:hAnsi="Liberation Serif" w:eastAsia="Liberation Serif" w:cs="Liberation Serif"/>
          <w:color w:val="3465a4"/>
          <w:sz w:val="24"/>
          <w:szCs w:val="24"/>
        </w:rPr>
        <w:t xml:space="preserve">nom</w:t>
      </w:r>
      <w:r>
        <w:rPr>
          <w:rFonts w:ascii="Liberation Serif" w:hAnsi="Liberation Serif" w:eastAsia="Liberation Serif" w:cs="Liberation Serif"/>
          <w:sz w:val="24"/>
          <w:szCs w:val="24"/>
        </w:rPr>
        <w:t xml:space="preserve"> </w:t>
      </w:r>
      <w:r>
        <w:rPr>
          <w:rFonts w:ascii="Liberation Serif" w:hAnsi="Liberation Serif" w:eastAsia="Liberation Serif" w:cs="Liberation Serif"/>
          <w:sz w:val="24"/>
          <w:szCs w:val="24"/>
        </w:rPr>
        <w:t xml:space="preserve">(ex: </w:t>
      </w:r>
      <w:r>
        <w:rPr>
          <w:rFonts w:ascii="Liberation Serif" w:hAnsi="Liberation Serif" w:eastAsia="Liberation Serif" w:cs="Liberation Serif"/>
          <w:color w:val="ce181e"/>
          <w:sz w:val="24"/>
          <w:szCs w:val="24"/>
        </w:rPr>
        <w:t xml:space="preserve">get</w:t>
      </w:r>
      <w:r>
        <w:rPr>
          <w:rFonts w:ascii="Liberation Serif" w:hAnsi="Liberation Serif" w:eastAsia="Liberation Serif" w:cs="Liberation Serif"/>
          <w:color w:val="127622"/>
          <w:sz w:val="24"/>
          <w:szCs w:val="24"/>
        </w:rPr>
        <w:t xml:space="preserve">-</w:t>
      </w:r>
      <w:r>
        <w:rPr>
          <w:rFonts w:ascii="Liberation Serif" w:hAnsi="Liberation Serif" w:eastAsia="Liberation Serif" w:cs="Liberation Serif"/>
          <w:color w:val="3465a4"/>
          <w:sz w:val="24"/>
          <w:szCs w:val="24"/>
        </w:rPr>
        <w:t xml:space="preserve">service</w:t>
      </w:r>
      <w:r>
        <w:rPr>
          <w:rFonts w:ascii="Liberation Serif" w:hAnsi="Liberation Serif" w:eastAsia="Liberation Serif" w:cs="Liberation Serif"/>
          <w:sz w:val="24"/>
          <w:szCs w:val="24"/>
        </w:rPr>
        <w:t xml:space="preserve">)</w:t>
      </w: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  <w:r>
        <w:drawing>
          <wp:inline>
            <wp:extent cx="857106" cy="237945"/>
            <wp:effectExtent l="0" t="0" r="0" b="0"/>
            <wp:docPr id="1" name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857105" cy="237945"/>
                    </a:xfrm>
                    <a:prstGeom prst="rect">
                      <a:srcRec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  <w:r>
        <w:drawing>
          <wp:inline>
            <wp:extent cx="3487820" cy="3422304"/>
            <wp:effectExtent l="0" t="0" r="0" b="0"/>
            <wp:docPr id="2" name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487820" cy="3422303"/>
                    </a:xfrm>
                    <a:prstGeom prst="rect">
                      <a:srcRec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Liberation Serif" w:hAnsi="Liberation Serif" w:eastAsia="Liberation Serif" w:cs="Liberation Serif"/>
          <w:sz w:val="24"/>
          <w:szCs w:val="24"/>
        </w:rPr>
        <w:t xml:space="preserve">Cette commande permet de voir nos services actifs et inactifs</w:t>
      </w: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  <w:r>
        <w:rPr>
          <w:rFonts w:ascii="Liberation Serif" w:hAnsi="Liberation Serif" w:eastAsia="Liberation Serif" w:cs="Liberation Serif"/>
          <w:sz w:val="24"/>
          <w:szCs w:val="24"/>
          <w:u w:val="single"/>
        </w:rPr>
        <w:t xml:space="preserve">2. Les variables </w:t>
      </w: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  <w:r>
        <w:rPr>
          <w:rFonts w:ascii="Liberation Serif" w:hAnsi="Liberation Serif" w:eastAsia="Liberation Serif" w:cs="Liberation Serif"/>
          <w:sz w:val="24"/>
          <w:szCs w:val="24"/>
        </w:rPr>
        <w:t xml:space="preserve">Les variables commencent par le signe $ et contient la valeur qu’on lui a donnée </w:t>
      </w:r>
      <w:r>
        <w:rPr>
          <w:rFonts w:ascii="Liberation Serif" w:hAnsi="Liberation Serif" w:eastAsia="Liberation Serif" w:cs="Liberation Serif"/>
          <w:sz w:val="24"/>
          <w:szCs w:val="24"/>
        </w:rPr>
        <w:t xml:space="preserve">et peu contenir des lettres, des chiffres et des tirets</w:t>
      </w: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  <w:r>
        <w:rPr>
          <w:rFonts w:ascii="Liberation Serif" w:hAnsi="Liberation Serif" w:eastAsia="Liberation Serif" w:cs="Liberation Serif"/>
          <w:sz w:val="24"/>
          <w:szCs w:val="24"/>
        </w:rPr>
        <w:t xml:space="preserve">Pour utiliser une variable il faudra simplement faire: $</w:t>
      </w:r>
      <w:r>
        <w:rPr>
          <w:rFonts w:ascii="Liberation Serif" w:hAnsi="Liberation Serif" w:eastAsia="Liberation Serif" w:cs="Liberation Serif"/>
          <w:sz w:val="24"/>
          <w:szCs w:val="24"/>
        </w:rPr>
        <w:t xml:space="preserve">N</w:t>
      </w:r>
      <w:r>
        <w:rPr>
          <w:rFonts w:ascii="Liberation Serif" w:hAnsi="Liberation Serif" w:eastAsia="Liberation Serif" w:cs="Liberation Serif"/>
          <w:sz w:val="24"/>
          <w:szCs w:val="24"/>
        </w:rPr>
        <w:t xml:space="preserve">om_Variable</w:t>
      </w: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  <w:r>
        <w:rPr>
          <w:rFonts w:ascii="Liberation Serif" w:hAnsi="Liberation Serif" w:eastAsia="Liberation Serif" w:cs="Liberation Serif"/>
          <w:sz w:val="24"/>
          <w:szCs w:val="24"/>
        </w:rPr>
        <w:t xml:space="preserve">Pour créer une variable il faudra indiquer le </w:t>
      </w:r>
      <w:r>
        <w:rPr>
          <w:rFonts w:ascii="Liberation Serif" w:hAnsi="Liberation Serif" w:eastAsia="Liberation Serif" w:cs="Liberation Serif"/>
          <w:color w:val="ce181e"/>
          <w:sz w:val="24"/>
          <w:szCs w:val="24"/>
        </w:rPr>
        <w:t xml:space="preserve">nom de la variable</w:t>
      </w:r>
      <w:r>
        <w:rPr>
          <w:rFonts w:ascii="Liberation Serif" w:hAnsi="Liberation Serif" w:eastAsia="Liberation Serif" w:cs="Liberation Serif"/>
          <w:sz w:val="24"/>
          <w:szCs w:val="24"/>
        </w:rPr>
        <w:t xml:space="preserve"> et sa </w:t>
      </w:r>
      <w:r>
        <w:rPr>
          <w:rFonts w:ascii="Liberation Serif" w:hAnsi="Liberation Serif" w:eastAsia="Liberation Serif" w:cs="Liberation Serif"/>
          <w:color w:val="3465a4"/>
          <w:sz w:val="24"/>
          <w:szCs w:val="24"/>
        </w:rPr>
        <w:t xml:space="preserve">valeur</w:t>
      </w:r>
      <w:r>
        <w:rPr>
          <w:rFonts w:ascii="Liberation Serif" w:hAnsi="Liberation Serif" w:eastAsia="Liberation Serif" w:cs="Liberation Serif"/>
          <w:sz w:val="24"/>
          <w:szCs w:val="24"/>
        </w:rPr>
        <w:t xml:space="preserve"> (ex: $</w:t>
      </w:r>
      <w:r>
        <w:rPr>
          <w:rFonts w:ascii="Liberation Serif" w:hAnsi="Liberation Serif" w:eastAsia="Liberation Serif" w:cs="Liberation Serif"/>
          <w:color w:val="ce181e"/>
          <w:sz w:val="24"/>
          <w:szCs w:val="24"/>
        </w:rPr>
        <w:t xml:space="preserve">var</w:t>
      </w:r>
      <w:r>
        <w:rPr>
          <w:rFonts w:ascii="Liberation Serif" w:hAnsi="Liberation Serif" w:eastAsia="Liberation Serif" w:cs="Liberation Serif"/>
          <w:sz w:val="24"/>
          <w:szCs w:val="24"/>
        </w:rPr>
        <w:t xml:space="preserve"> = </w:t>
      </w:r>
      <w:r>
        <w:rPr>
          <w:rFonts w:ascii="Liberation Serif" w:hAnsi="Liberation Serif" w:eastAsia="Liberation Serif" w:cs="Liberation Serif"/>
          <w:color w:val="3465a4"/>
          <w:sz w:val="24"/>
          <w:szCs w:val="24"/>
        </w:rPr>
        <w:t xml:space="preserve">«valeur»</w:t>
      </w:r>
      <w:r>
        <w:rPr>
          <w:rFonts w:ascii="Liberation Serif" w:hAnsi="Liberation Serif" w:eastAsia="Liberation Serif" w:cs="Liberation Serif"/>
          <w:sz w:val="24"/>
          <w:szCs w:val="24"/>
        </w:rPr>
        <w:t xml:space="preserve">)</w:t>
      </w: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  <w:r>
        <w:rPr>
          <w:rFonts w:ascii="Liberation Serif" w:hAnsi="Liberation Serif" w:eastAsia="Liberation Serif" w:cs="Liberation Serif"/>
          <w:sz w:val="24"/>
          <w:szCs w:val="24"/>
        </w:rPr>
        <w:t xml:space="preserve">Dans notre exemple nous allons créer une variable get-service</w:t>
      </w: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  <w:r>
        <w:drawing>
          <wp:inline>
            <wp:extent cx="1590739" cy="200147"/>
            <wp:effectExtent l="0" t="0" r="0" b="0"/>
            <wp:docPr id="3" name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1590739" cy="200147"/>
                    </a:xfrm>
                    <a:prstGeom prst="rect">
                      <a:srcRec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  <w:r>
        <w:rPr>
          <w:rFonts w:ascii="Liberation Serif" w:hAnsi="Liberation Serif" w:eastAsia="Liberation Serif" w:cs="Liberation Serif"/>
          <w:sz w:val="24"/>
          <w:szCs w:val="24"/>
        </w:rPr>
        <w:t xml:space="preserve">La variable $service nous permettras d’effectuer un get-service</w:t>
      </w: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  <w:r>
        <w:drawing>
          <wp:inline>
            <wp:extent cx="4572431" cy="1295198"/>
            <wp:effectExtent l="0" t="0" r="0" b="0"/>
            <wp:docPr id="4" name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572431" cy="1295197"/>
                    </a:xfrm>
                    <a:prstGeom prst="rect">
                      <a:srcRec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  <w:r>
        <w:rPr>
          <w:rFonts w:ascii="Liberation Serif" w:hAnsi="Liberation Serif" w:eastAsia="Liberation Serif" w:cs="Liberation Serif"/>
          <w:sz w:val="24"/>
          <w:szCs w:val="24"/>
          <w:u w:val="single"/>
        </w:rPr>
        <w:t xml:space="preserve">3. </w:t>
      </w:r>
      <w:r>
        <w:rPr>
          <w:rFonts w:ascii="Liberation Serif" w:hAnsi="Liberation Serif" w:eastAsia="Liberation Serif" w:cs="Liberation Serif"/>
          <w:sz w:val="24"/>
          <w:szCs w:val="24"/>
          <w:u w:val="single"/>
        </w:rPr>
        <w:t xml:space="preserve">Variables d’environnement</w:t>
      </w: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  <w:r>
        <w:rPr>
          <w:rFonts w:ascii="Liberation Serif" w:hAnsi="Liberation Serif" w:eastAsia="Liberation Serif" w:cs="Liberation Serif"/>
          <w:sz w:val="24"/>
          <w:szCs w:val="24"/>
        </w:rPr>
        <w:t xml:space="preserve">Les variables d’environnement contiennent les informations liées au système d’exploitation</w:t>
      </w: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  <w:r>
        <w:drawing>
          <wp:inline>
            <wp:extent cx="1295198" cy="181068"/>
            <wp:effectExtent l="0" t="0" r="0" b="0"/>
            <wp:docPr id="5" name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1295197" cy="181067"/>
                    </a:xfrm>
                    <a:prstGeom prst="rect">
                      <a:srcRec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  <w:r>
        <w:rPr>
          <w:rFonts w:ascii="Liberation Serif" w:hAnsi="Liberation Serif" w:eastAsia="Liberation Serif" w:cs="Liberation Serif"/>
          <w:sz w:val="24"/>
          <w:szCs w:val="24"/>
        </w:rPr>
        <w:t xml:space="preserve">Cette commande permet d’afficher la valeur de toutes les variables d’environnement</w:t>
      </w: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  <w:r>
        <w:rPr>
          <w:rFonts w:ascii="Liberation Serif" w:hAnsi="Liberation Serif" w:eastAsia="Liberation Serif" w:cs="Liberation Serif"/>
          <w:sz w:val="24"/>
          <w:szCs w:val="24"/>
        </w:rPr>
        <w:t xml:space="preserve">Si nous recherchons une variable d’environnement en particulier, nous utiliserons la cmdlet: « Get-Item: »</w:t>
      </w: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  <w:r>
        <w:rPr>
          <w:rFonts w:ascii="Liberation Serif" w:hAnsi="Liberation Serif" w:eastAsia="Liberation Serif" w:cs="Liberation Serif"/>
          <w:sz w:val="24"/>
          <w:szCs w:val="24"/>
        </w:rPr>
        <w:t xml:space="preserve">Exemple: pour la variable PATH</w:t>
      </w: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  <w:r>
        <w:drawing>
          <wp:inline>
            <wp:extent cx="6731935" cy="480569"/>
            <wp:effectExtent l="0" t="0" r="0" b="0"/>
            <wp:docPr id="6" name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6731934" cy="480569"/>
                    </a:xfrm>
                    <a:prstGeom prst="rect">
                      <a:srcRec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  <w:r>
        <w:rPr>
          <w:rFonts w:ascii="Liberation Serif" w:hAnsi="Liberation Serif" w:eastAsia="Liberation Serif" w:cs="Liberation Serif"/>
          <w:sz w:val="24"/>
          <w:szCs w:val="24"/>
          <w:u w:val="single"/>
        </w:rPr>
        <w:t xml:space="preserve">4. Pipeline</w:t>
      </w: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  <w:r>
        <w:rPr>
          <w:rFonts w:ascii="Liberation Serif" w:hAnsi="Liberation Serif" w:eastAsia="Liberation Serif" w:cs="Liberation Serif"/>
          <w:sz w:val="24"/>
          <w:szCs w:val="24"/>
        </w:rPr>
        <w:t xml:space="preserve">Le pipeline </w:t>
      </w:r>
      <w:r>
        <w:rPr>
          <w:rFonts w:ascii="Liberation Serif" w:hAnsi="Liberation Serif" w:eastAsia="Liberation Serif" w:cs="Liberation Serif"/>
          <w:sz w:val="24"/>
          <w:szCs w:val="24"/>
        </w:rPr>
        <w:t xml:space="preserve">symbolisé par « | » permet de chaîner les commandes</w:t>
      </w: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  <w:r>
        <w:drawing>
          <wp:inline>
            <wp:extent cx="2210260" cy="152270"/>
            <wp:effectExtent l="0" t="0" r="0" b="0"/>
            <wp:docPr id="7" name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2210259" cy="152270"/>
                    </a:xfrm>
                    <a:prstGeom prst="rect">
                      <a:srcRec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  <w:r>
        <w:rPr>
          <w:rFonts w:ascii="Liberation Serif" w:hAnsi="Liberation Serif" w:eastAsia="Liberation Serif" w:cs="Liberation Serif"/>
          <w:sz w:val="24"/>
          <w:szCs w:val="24"/>
        </w:rPr>
        <w:t xml:space="preserve">Exemple: </w:t>
      </w:r>
      <w:r>
        <w:rPr>
          <w:rFonts w:ascii="Liberation Serif" w:hAnsi="Liberation Serif" w:eastAsia="Liberation Serif" w:cs="Liberation Serif"/>
          <w:sz w:val="24"/>
          <w:szCs w:val="24"/>
        </w:rPr>
        <w:t xml:space="preserve">Get-Service | Sort-Object Status permet d’effectuer un tri en affichant les services stopped en priorité</w:t>
      </w: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  <w:r>
        <w:rPr>
          <w:rFonts w:ascii="Liberation Serif" w:hAnsi="Liberation Serif" w:eastAsia="Liberation Serif" w:cs="Liberation Serif"/>
          <w:sz w:val="24"/>
          <w:szCs w:val="24"/>
        </w:rPr>
        <w:t xml:space="preserve">Il est aussi possible de filtrer les sorties:</w:t>
      </w: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  <w:r>
        <w:drawing>
          <wp:inline>
            <wp:extent cx="3630011" cy="228585"/>
            <wp:effectExtent l="0" t="0" r="0" b="0"/>
            <wp:docPr id="8" name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630011" cy="228585"/>
                    </a:xfrm>
                    <a:prstGeom prst="rect">
                      <a:srcRec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  <w:r>
        <w:rPr>
          <w:rFonts w:ascii="Liberation Serif" w:hAnsi="Liberation Serif" w:eastAsia="Liberation Serif" w:cs="Liberation Serif"/>
          <w:sz w:val="24"/>
          <w:szCs w:val="24"/>
        </w:rPr>
        <w:t xml:space="preserve">Dans notre exemple </w:t>
      </w:r>
      <w:r>
        <w:rPr>
          <w:rFonts w:ascii="Liberation Serif" w:hAnsi="Liberation Serif" w:eastAsia="Liberation Serif" w:cs="Liberation Serif"/>
          <w:sz w:val="24"/>
          <w:szCs w:val="24"/>
          <w:b/>
        </w:rPr>
        <w:t xml:space="preserve">Get-Service | Where-Object {$_.</w:t>
      </w:r>
      <w:r>
        <w:rPr>
          <w:rFonts w:ascii="Liberation Serif" w:hAnsi="Liberation Serif" w:eastAsia="Liberation Serif" w:cs="Liberation Serif"/>
          <w:color w:val="3465a4"/>
          <w:sz w:val="24"/>
          <w:szCs w:val="24"/>
          <w:b/>
        </w:rPr>
        <w:t xml:space="preserve">status</w:t>
      </w:r>
      <w:r>
        <w:rPr>
          <w:rFonts w:ascii="Liberation Serif" w:hAnsi="Liberation Serif" w:eastAsia="Liberation Serif" w:cs="Liberation Serif"/>
          <w:sz w:val="24"/>
          <w:szCs w:val="24"/>
          <w:b/>
        </w:rPr>
        <w:t xml:space="preserve"> -eg «</w:t>
      </w:r>
      <w:r>
        <w:rPr>
          <w:rFonts w:ascii="Liberation Serif" w:hAnsi="Liberation Serif" w:eastAsia="Liberation Serif" w:cs="Liberation Serif"/>
          <w:color w:val="77bc65"/>
          <w:sz w:val="24"/>
          <w:szCs w:val="24"/>
          <w:b/>
        </w:rPr>
        <w:t xml:space="preserve">running</w:t>
      </w:r>
      <w:r>
        <w:rPr>
          <w:rFonts w:ascii="Liberation Serif" w:hAnsi="Liberation Serif" w:eastAsia="Liberation Serif" w:cs="Liberation Serif"/>
          <w:sz w:val="24"/>
          <w:szCs w:val="24"/>
          <w:b/>
        </w:rPr>
        <w:t xml:space="preserve">» } </w:t>
      </w:r>
      <w:r>
        <w:rPr>
          <w:rFonts w:ascii="Liberation Serif" w:hAnsi="Liberation Serif" w:eastAsia="Liberation Serif" w:cs="Liberation Serif"/>
          <w:sz w:val="24"/>
          <w:szCs w:val="24"/>
        </w:rPr>
        <w:t xml:space="preserve">permet de lister que les service actifs</w:t>
      </w: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  <w:r>
        <w:rPr>
          <w:rFonts w:ascii="Liberation Serif" w:hAnsi="Liberation Serif" w:eastAsia="Liberation Serif" w:cs="Liberation Serif"/>
          <w:sz w:val="24"/>
          <w:szCs w:val="24"/>
        </w:rPr>
        <w:t xml:space="preserve">On remplacera «</w:t>
      </w:r>
      <w:r>
        <w:rPr>
          <w:rFonts w:ascii="Liberation Serif" w:hAnsi="Liberation Serif" w:eastAsia="Liberation Serif" w:cs="Liberation Serif"/>
          <w:color w:val="77bc65"/>
          <w:sz w:val="24"/>
          <w:szCs w:val="24"/>
        </w:rPr>
        <w:t xml:space="preserve">running</w:t>
      </w:r>
      <w:r>
        <w:rPr>
          <w:rFonts w:ascii="Liberation Serif" w:hAnsi="Liberation Serif" w:eastAsia="Liberation Serif" w:cs="Liberation Serif"/>
          <w:sz w:val="24"/>
          <w:szCs w:val="24"/>
        </w:rPr>
        <w:t xml:space="preserve">» par «</w:t>
      </w:r>
      <w:r>
        <w:rPr>
          <w:rFonts w:ascii="Liberation Serif" w:hAnsi="Liberation Serif" w:eastAsia="Liberation Serif" w:cs="Liberation Serif"/>
          <w:color w:val="77bc65"/>
          <w:sz w:val="24"/>
          <w:szCs w:val="24"/>
        </w:rPr>
        <w:t xml:space="preserve">stopped</w:t>
      </w:r>
      <w:r>
        <w:rPr>
          <w:rFonts w:ascii="Liberation Serif" w:hAnsi="Liberation Serif" w:eastAsia="Liberation Serif" w:cs="Liberation Serif"/>
          <w:sz w:val="24"/>
          <w:szCs w:val="24"/>
        </w:rPr>
        <w:t xml:space="preserve">» si l’on souhaite avoir seulement les services stopp</w:t>
      </w:r>
      <w:r>
        <w:rPr>
          <w:rFonts w:ascii="Liberation Serif" w:hAnsi="Liberation Serif" w:eastAsia="Liberation Serif" w:cs="Liberation Serif"/>
          <w:sz w:val="24"/>
          <w:szCs w:val="24"/>
        </w:rPr>
        <w:t xml:space="preserve">ed</w:t>
      </w:r>
      <w:r>
        <w:rPr>
          <w:rFonts w:ascii="Liberation Serif" w:hAnsi="Liberation Serif" w:eastAsia="Liberation Serif" w:cs="Liberation Serif"/>
          <w:sz w:val="24"/>
          <w:szCs w:val="24"/>
        </w:rPr>
        <w:t xml:space="preserve"> </w:t>
      </w: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  <w:r>
        <w:drawing>
          <wp:inline>
            <wp:extent cx="5468775" cy="2906096"/>
            <wp:effectExtent l="0" t="0" r="0" b="0"/>
            <wp:docPr id="9" name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468775" cy="2906096"/>
                    </a:xfrm>
                    <a:prstGeom prst="rect">
                      <a:srcRec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Liberation Serif" w:hAnsi="Liberation Serif" w:eastAsia="Liberation Serif" w:cs="Liberation Serif"/>
          <w:sz w:val="24"/>
          <w:szCs w:val="24"/>
        </w:rPr>
        <w:t xml:space="preserve">Pour avoir un service en particulier, on remplaceras «</w:t>
      </w:r>
      <w:r>
        <w:rPr>
          <w:rFonts w:ascii="Liberation Serif" w:hAnsi="Liberation Serif" w:eastAsia="Liberation Serif" w:cs="Liberation Serif"/>
          <w:color w:val="3465a4"/>
          <w:sz w:val="24"/>
          <w:szCs w:val="24"/>
        </w:rPr>
        <w:t xml:space="preserve">status</w:t>
      </w:r>
      <w:r>
        <w:rPr>
          <w:rFonts w:ascii="Liberation Serif" w:hAnsi="Liberation Serif" w:eastAsia="Liberation Serif" w:cs="Liberation Serif"/>
          <w:sz w:val="24"/>
          <w:szCs w:val="24"/>
        </w:rPr>
        <w:t xml:space="preserve">» par «</w:t>
      </w:r>
      <w:r>
        <w:rPr>
          <w:rFonts w:ascii="Liberation Serif" w:hAnsi="Liberation Serif" w:eastAsia="Liberation Serif" w:cs="Liberation Serif"/>
          <w:color w:val="3465a4"/>
          <w:sz w:val="24"/>
          <w:szCs w:val="24"/>
        </w:rPr>
        <w:t xml:space="preserve">name</w:t>
      </w:r>
      <w:r>
        <w:rPr>
          <w:rFonts w:ascii="Liberation Serif" w:hAnsi="Liberation Serif" w:eastAsia="Liberation Serif" w:cs="Liberation Serif"/>
          <w:sz w:val="24"/>
          <w:szCs w:val="24"/>
        </w:rPr>
        <w:t xml:space="preserve">» et «</w:t>
      </w:r>
      <w:r>
        <w:rPr>
          <w:rFonts w:ascii="Liberation Serif" w:hAnsi="Liberation Serif" w:eastAsia="Liberation Serif" w:cs="Liberation Serif"/>
          <w:color w:val="5eb91e"/>
          <w:sz w:val="24"/>
          <w:szCs w:val="24"/>
        </w:rPr>
        <w:t xml:space="preserve">running</w:t>
      </w:r>
      <w:r>
        <w:rPr>
          <w:rFonts w:ascii="Liberation Serif" w:hAnsi="Liberation Serif" w:eastAsia="Liberation Serif" w:cs="Liberation Serif"/>
          <w:sz w:val="24"/>
          <w:szCs w:val="24"/>
        </w:rPr>
        <w:t xml:space="preserve">» par </w:t>
      </w:r>
      <w:r>
        <w:rPr>
          <w:rFonts w:ascii="Liberation Serif" w:hAnsi="Liberation Serif" w:eastAsia="Liberation Serif" w:cs="Liberation Serif"/>
          <w:sz w:val="24"/>
          <w:szCs w:val="24"/>
        </w:rPr>
        <w:t xml:space="preserve">«</w:t>
      </w:r>
      <w:r>
        <w:rPr>
          <w:rFonts w:ascii="Liberation Serif" w:hAnsi="Liberation Serif" w:eastAsia="Liberation Serif" w:cs="Liberation Serif"/>
          <w:color w:val="77bc65"/>
          <w:sz w:val="24"/>
          <w:szCs w:val="24"/>
        </w:rPr>
        <w:t xml:space="preserve">NomDuService</w:t>
      </w:r>
      <w:r>
        <w:rPr>
          <w:rFonts w:ascii="Liberation Serif" w:hAnsi="Liberation Serif" w:eastAsia="Liberation Serif" w:cs="Liberation Serif"/>
          <w:sz w:val="24"/>
          <w:szCs w:val="24"/>
        </w:rPr>
        <w:t xml:space="preserve">» </w:t>
      </w: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center"/>
        <w:ind w:left="-396" w:right="-566" w:firstLine="0"/>
        <w:spacing w:before="0" w:after="0" w:line="240" w:lineRule="auto"/>
        <w:tabs>
          <w:tab w:val="left" w:leader="none" w:pos="9911"/>
        </w:tabs>
      </w:pPr>
      <w:r>
        <w:rPr>
          <w:rFonts w:ascii="Liberation Serif" w:hAnsi="Liberation Serif" w:eastAsia="Liberation Serif" w:cs="Liberation Serif"/>
          <w:sz w:val="24"/>
          <w:szCs w:val="24"/>
          <w:u w:val="single"/>
        </w:rPr>
        <w:t xml:space="preserve">I</w:t>
      </w:r>
      <w:r>
        <w:rPr>
          <w:rFonts w:ascii="Liberation Serif" w:hAnsi="Liberation Serif" w:eastAsia="Liberation Serif" w:cs="Liberation Serif"/>
          <w:sz w:val="24"/>
          <w:szCs w:val="24"/>
          <w:u w:val="single"/>
        </w:rPr>
        <w:t xml:space="preserve">I. Commandes </w:t>
      </w:r>
      <w:r>
        <w:rPr>
          <w:rFonts w:ascii="Liberation Serif" w:hAnsi="Liberation Serif" w:eastAsia="Liberation Serif" w:cs="Liberation Serif"/>
          <w:sz w:val="24"/>
          <w:szCs w:val="24"/>
          <w:u w:val="single"/>
        </w:rPr>
        <w:t xml:space="preserve">à maitriser</w:t>
      </w: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p>
      <w:pPr>
        <w:jc w:val="left"/>
        <w:ind w:left="-396" w:right="-566" w:firstLine="0"/>
        <w:spacing w:before="0" w:after="0" w:line="240" w:lineRule="auto"/>
        <w:tabs>
          <w:tab w:val="left" w:leader="none" w:pos="9911"/>
        </w:tabs>
      </w:pPr>
    </w:p>
    <w:tbl>
      <w:tblGrid>
        <w:gridCol w:w="3210" w:type="dxa"/>
        <w:gridCol w:w="3210" w:type="dxa"/>
        <w:gridCol w:w="3210" w:type="dxa"/>
      </w:tblGrid>
      <w:tblPr>
        <w:jc w:val="left"/>
        <w:tblW w:w="9630" w:type="dxa"/>
        <w:tblBorders>
          <w:top w:val="" w:sz="6" w:color="999999"/>
          <w:left w:val="" w:sz="6" w:color="999999"/>
          <w:right w:val="" w:sz="6" w:color="999999"/>
          <w:bottom w:val="" w:sz="6" w:color="999999"/>
          <w:insideH w:val="" w:sz="6" w:color="999999"/>
          <w:insideV w:val="" w:sz="6" w:color="999999"/>
        </w:tblBorders>
        <w:tblLayout w:type="fixed"/>
        <w:tblInd w:w="0" w:type="dxa"/>
      </w:tblPr>
      <w:tr>
        <w:trPr>
          <w:trHeight w:val="330" w:hRule="atLeast"/>
        </w:trPr>
        <w:tc>
          <w:tcPr>
            <w:tcW w:w="3210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cccccc"/>
          </w:tcPr>
          <w:p>
            <w:pPr>
              <w:jc w:val="center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  <w:b/>
              </w:rPr>
              <w:t xml:space="preserve">Cmdlet</w:t>
            </w:r>
          </w:p>
        </w:tc>
        <w:tc>
          <w:tcPr>
            <w:tcW w:w="3210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cccccc"/>
          </w:tcPr>
          <w:p>
            <w:pPr>
              <w:jc w:val="center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  <w:b/>
              </w:rPr>
              <w:t xml:space="preserve">Description</w:t>
            </w:r>
          </w:p>
        </w:tc>
        <w:tc>
          <w:tcPr>
            <w:tcW w:w="3210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cccccc"/>
          </w:tcPr>
          <w:p>
            <w:pPr>
              <w:jc w:val="center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  <w:b/>
              </w:rPr>
              <w:t xml:space="preserve">Alias</w:t>
            </w:r>
          </w:p>
        </w:tc>
      </w:tr>
      <w:tr>
        <w:trPr>
          <w:trHeight w:val="330" w:hRule="atLeast"/>
        </w:trPr>
        <w:tc>
          <w:tcPr>
            <w:tcW w:w="3210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Get-Command</w:t>
            </w:r>
          </w:p>
        </w:tc>
        <w:tc>
          <w:tcPr>
            <w:tcW w:w="3210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Information de base sur les commandes</w:t>
            </w:r>
          </w:p>
        </w:tc>
        <w:tc>
          <w:tcPr>
            <w:tcW w:w="3210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Gcm</w:t>
            </w:r>
          </w:p>
        </w:tc>
      </w:tr>
      <w:tr>
        <w:trPr>
          <w:trHeight w:val="330" w:hRule="atLeast"/>
        </w:trPr>
        <w:tc>
          <w:tcPr>
            <w:tcW w:w="3210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Get-Help</w:t>
            </w:r>
          </w:p>
        </w:tc>
        <w:tc>
          <w:tcPr>
            <w:tcW w:w="3210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Aide de base</w:t>
            </w:r>
          </w:p>
        </w:tc>
        <w:tc>
          <w:tcPr>
            <w:tcW w:w="3210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Help, man</w:t>
            </w:r>
          </w:p>
        </w:tc>
      </w:tr>
      <w:tr>
        <w:trPr>
          <w:trHeight w:val="330" w:hRule="atLeast"/>
        </w:trPr>
        <w:tc>
          <w:tcPr>
            <w:tcW w:w="3210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Get-Member</w:t>
            </w:r>
          </w:p>
        </w:tc>
        <w:tc>
          <w:tcPr>
            <w:tcW w:w="3210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Informations sur les méthodes et propriétés des objects</w:t>
            </w:r>
          </w:p>
        </w:tc>
        <w:tc>
          <w:tcPr>
            <w:tcW w:w="3210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Gm</w:t>
            </w:r>
          </w:p>
        </w:tc>
      </w:tr>
      <w:tr>
        <w:trPr>
          <w:trHeight w:val="330" w:hRule="atLeast"/>
        </w:trPr>
        <w:tc>
          <w:tcPr>
            <w:tcW w:w="3210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Get-PSDrive</w:t>
            </w:r>
          </w:p>
        </w:tc>
        <w:tc>
          <w:tcPr>
            <w:tcW w:w="3210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Information sur les lecteurs powershell</w:t>
            </w:r>
          </w:p>
        </w:tc>
        <w:tc>
          <w:tcPr>
            <w:tcW w:w="3210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Gdr</w:t>
            </w:r>
          </w:p>
        </w:tc>
      </w:tr>
      <w:tr>
        <w:trPr>
          <w:trHeight w:val="330" w:hRule="atLeast"/>
        </w:trPr>
        <w:tc>
          <w:tcPr>
            <w:tcW w:w="3210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Get-Module</w:t>
            </w:r>
          </w:p>
        </w:tc>
        <w:tc>
          <w:tcPr>
            <w:tcW w:w="3210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Liste les modules actuellement chargés</w:t>
            </w:r>
          </w:p>
        </w:tc>
        <w:tc>
          <w:tcPr>
            <w:tcW w:w="3210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Gmo</w:t>
            </w:r>
          </w:p>
        </w:tc>
      </w:tr>
      <w:tr>
        <w:trPr>
          <w:trHeight w:val="330" w:hRule="atLeast"/>
        </w:trPr>
        <w:tc>
          <w:tcPr>
            <w:tcW w:w="3210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Get-PSSnapin</w:t>
            </w:r>
          </w:p>
        </w:tc>
        <w:tc>
          <w:tcPr>
            <w:tcW w:w="3210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Liste les snapins actuellement chargés</w:t>
            </w:r>
          </w:p>
        </w:tc>
        <w:tc>
          <w:tcPr>
            <w:tcW w:w="3210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gsnp</w:t>
            </w:r>
          </w:p>
        </w:tc>
      </w:tr>
    </w:tbl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sz w:val="24"/>
          <w:szCs w:val="24"/>
          <w:u w:val="single"/>
        </w:rPr>
        <w:t xml:space="preserve">1. Get-Help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sz w:val="24"/>
          <w:szCs w:val="24"/>
        </w:rPr>
        <w:t xml:space="preserve">Get-Help permet l’obtention d’information, que ce soit sur une commande </w:t>
      </w:r>
      <w:r>
        <w:rPr>
          <w:rFonts w:ascii="Liberation Serif" w:hAnsi="Liberation Serif" w:eastAsia="Liberation Serif" w:cs="Liberation Serif"/>
          <w:sz w:val="24"/>
          <w:szCs w:val="24"/>
        </w:rPr>
        <w:t xml:space="preserve">cmdlet, fonction ou script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sz w:val="24"/>
          <w:szCs w:val="24"/>
        </w:rPr>
        <w:t xml:space="preserve">Get-Help utilisé seulement avec une commande montreras les informations de base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sz w:val="24"/>
          <w:szCs w:val="24"/>
        </w:rPr>
        <w:t xml:space="preserve">Exemple: Get-Help Get-Service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drawing>
          <wp:inline>
            <wp:extent cx="6479591" cy="2219980"/>
            <wp:effectExtent l="0" t="0" r="0" b="0"/>
            <wp:docPr id="10" name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6479591" cy="2219980"/>
                    </a:xfrm>
                    <a:prstGeom prst="rect">
                      <a:srcRec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sz w:val="24"/>
          <w:szCs w:val="24"/>
        </w:rPr>
        <w:t xml:space="preserve">Il est possible d’ajouter un paramètre a la cmdlet: 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tbl>
      <w:tblGrid>
        <w:gridCol w:w="3495" w:type="dxa"/>
        <w:gridCol w:w="3630" w:type="dxa"/>
        <w:gridCol w:w="3330" w:type="dxa"/>
      </w:tblGrid>
      <w:tblPr>
        <w:jc w:val="left"/>
        <w:tblW w:w="10455" w:type="dxa"/>
        <w:tblBorders>
          <w:top w:val="" w:sz="6" w:color="999999"/>
          <w:left w:val="" w:sz="6" w:color="999999"/>
          <w:right w:val="" w:sz="6" w:color="999999"/>
          <w:bottom w:val="" w:sz="6" w:color="999999"/>
          <w:insideH w:val="" w:sz="6" w:color="999999"/>
          <w:insideV w:val="" w:sz="6" w:color="999999"/>
        </w:tblBorders>
        <w:tblLayout w:type="fixed"/>
        <w:tblInd w:w="-289.116" w:type="dxa"/>
      </w:tblPr>
      <w:tr>
        <w:trPr>
          <w:trHeight w:val="330" w:hRule="atLeast"/>
        </w:trPr>
        <w:tc>
          <w:tcPr>
            <w:tcW w:w="3495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cccccc"/>
          </w:tcPr>
          <w:p>
            <w:pPr>
              <w:jc w:val="center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  <w:b/>
              </w:rPr>
              <w:t xml:space="preserve">Paramètre</w:t>
            </w:r>
          </w:p>
        </w:tc>
        <w:tc>
          <w:tcPr>
            <w:tcW w:w="3630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cccccc"/>
          </w:tcPr>
          <w:p>
            <w:pPr>
              <w:jc w:val="center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  <w:b/>
              </w:rPr>
              <w:t xml:space="preserve">Description</w:t>
            </w:r>
          </w:p>
        </w:tc>
        <w:tc>
          <w:tcPr>
            <w:tcW w:w="3330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cccccc"/>
          </w:tcPr>
          <w:p>
            <w:pPr>
              <w:jc w:val="center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  <w:b/>
              </w:rPr>
              <w:t xml:space="preserve">Exemple</w:t>
            </w:r>
          </w:p>
        </w:tc>
      </w:tr>
      <w:tr>
        <w:trPr>
          <w:trHeight w:val="330" w:hRule="atLeast"/>
        </w:trPr>
        <w:tc>
          <w:tcPr>
            <w:tcW w:w="3495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right="-566" w:firstLine="0"/>
              <w:spacing w:before="0" w:after="0" w:line="240" w:lineRule="auto"/>
              <w:tabs>
                <w:tab w:val="left" w:leader="none" w:pos="10308"/>
              </w:tabs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-Full</w:t>
            </w:r>
          </w:p>
        </w:tc>
        <w:tc>
          <w:tcPr>
            <w:tcW w:w="3630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right="-566" w:firstLine="0"/>
              <w:spacing w:before="0" w:after="0" w:line="240" w:lineRule="auto"/>
              <w:tabs>
                <w:tab w:val="left" w:leader="none" w:pos="10308"/>
              </w:tabs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Permet d’afficher la totalité de l’aide d’une cmdlet</w:t>
            </w:r>
          </w:p>
        </w:tc>
        <w:tc>
          <w:tcPr>
            <w:tcW w:w="3330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Get-Help Get-Service -Full</w:t>
            </w:r>
          </w:p>
        </w:tc>
      </w:tr>
      <w:tr>
        <w:trPr>
          <w:trHeight w:val="330" w:hRule="atLeast"/>
        </w:trPr>
        <w:tc>
          <w:tcPr>
            <w:tcW w:w="3495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right="-566" w:firstLine="0"/>
              <w:spacing w:before="0" w:after="0" w:line="240" w:lineRule="auto"/>
              <w:tabs>
                <w:tab w:val="left" w:leader="none" w:pos="10308"/>
              </w:tabs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-Category</w:t>
            </w:r>
          </w:p>
        </w:tc>
        <w:tc>
          <w:tcPr>
            <w:tcW w:w="3630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right="-566" w:firstLine="0"/>
              <w:spacing w:before="0" w:after="0" w:line="240" w:lineRule="auto"/>
              <w:tabs>
                <w:tab w:val="left" w:leader="none" w:pos="10308"/>
              </w:tabs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P</w:t>
            </w: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ermet de lister </w:t>
            </w: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l’aide d’un éléments</w:t>
            </w:r>
          </w:p>
          <w:p>
            <w:pPr>
              <w:jc w:val="left"/>
              <w:ind w:right="-566" w:firstLine="0"/>
              <w:spacing w:before="0" w:after="0" w:line="240" w:lineRule="auto"/>
              <w:tabs>
                <w:tab w:val="left" w:leader="none" w:pos="10308"/>
              </w:tabs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se trouvant dans une catégorie</w:t>
            </w:r>
          </w:p>
          <w:p>
            <w:pPr>
              <w:jc w:val="left"/>
              <w:ind w:right="-566" w:firstLine="0"/>
              <w:spacing w:before="0" w:after="0" w:line="240" w:lineRule="auto"/>
              <w:tabs>
                <w:tab w:val="left" w:leader="none" w:pos="10308"/>
              </w:tabs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spécifique (Fournisseur dans notre</w:t>
            </w:r>
          </w:p>
          <w:p>
            <w:pPr>
              <w:jc w:val="left"/>
              <w:ind w:right="-566" w:firstLine="0"/>
              <w:spacing w:before="0" w:after="0" w:line="240" w:lineRule="auto"/>
              <w:tabs>
                <w:tab w:val="left" w:leader="none" w:pos="10308"/>
              </w:tabs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cas)</w:t>
            </w:r>
          </w:p>
        </w:tc>
        <w:tc>
          <w:tcPr>
            <w:tcW w:w="3330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Get-Help -Category -Provider</w:t>
            </w:r>
          </w:p>
        </w:tc>
      </w:tr>
      <w:tr>
        <w:trPr>
          <w:trHeight w:val="330" w:hRule="atLeast"/>
        </w:trPr>
        <w:tc>
          <w:tcPr>
            <w:tcW w:w="3495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-</w:t>
            </w: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Online</w:t>
            </w:r>
          </w:p>
        </w:tc>
        <w:tc>
          <w:tcPr>
            <w:tcW w:w="3630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Permet d’afficher l’aide en ligne sur microsoft docs</w:t>
            </w:r>
          </w:p>
        </w:tc>
        <w:tc>
          <w:tcPr>
            <w:tcW w:w="3330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Get-Help Get-Service -Online</w:t>
            </w:r>
          </w:p>
        </w:tc>
      </w:tr>
      <w:tr>
        <w:trPr>
          <w:trHeight w:val="330" w:hRule="atLeast"/>
        </w:trPr>
        <w:tc>
          <w:tcPr>
            <w:tcW w:w="3495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-</w:t>
            </w: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Examples</w:t>
            </w:r>
          </w:p>
        </w:tc>
        <w:tc>
          <w:tcPr>
            <w:tcW w:w="3630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Donne le nom, le synopsis et les exemples</w:t>
            </w:r>
          </w:p>
        </w:tc>
        <w:tc>
          <w:tcPr>
            <w:tcW w:w="3330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Get-Help Get-Service-Examples</w:t>
            </w:r>
          </w:p>
        </w:tc>
      </w:tr>
      <w:tr>
        <w:trPr>
          <w:trHeight w:val="330" w:hRule="atLeast"/>
        </w:trPr>
        <w:tc>
          <w:tcPr>
            <w:tcW w:w="3495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-</w:t>
            </w: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Detailed</w:t>
            </w:r>
          </w:p>
        </w:tc>
        <w:tc>
          <w:tcPr>
            <w:tcW w:w="3630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Permet d’afficher une vue détaillé de l’aide contenant des descriptions de paramètres suivi d’exemples</w:t>
            </w:r>
          </w:p>
        </w:tc>
        <w:tc>
          <w:tcPr>
            <w:tcW w:w="3330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Get-Help Get-Service-Detailed</w:t>
            </w:r>
          </w:p>
        </w:tc>
      </w:tr>
    </w:tbl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sz w:val="24"/>
          <w:szCs w:val="24"/>
          <w:u w:val="single"/>
        </w:rPr>
        <w:t xml:space="preserve">2. Get-Command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sz w:val="24"/>
          <w:szCs w:val="24"/>
        </w:rPr>
        <w:t xml:space="preserve">Get-Command affiche toute les commandes disponibles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sz w:val="24"/>
          <w:szCs w:val="24"/>
        </w:rPr>
        <w:t xml:space="preserve">Pour connaître le nombre de commande disponible, faites ces commandes: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(gcm).count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(gcm * ).count</w:t>
      </w:r>
      <w:r>
        <w:br/>
      </w: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(gcm -CommandType cmdlet).count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L</w:t>
      </w: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e nombre diffère car Powershell exploite différentes catégories de commande: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-Alias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-Function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-Cmdlet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-Application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Powershell possède un noyau composé de commande de base (alias, function, cmdlet) </w:t>
      </w: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qui peuvent être augmenter en chargeant des modules, les modules porteront l’extension *.psm1, *.psd1 ou *.ddl si ils sont compilés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P</w:t>
      </w: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our savoir les modules disponible: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Get-Module -ListAvailable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drawing>
          <wp:inline>
            <wp:extent cx="6479591" cy="3410425"/>
            <wp:effectExtent l="0" t="0" r="0" b="0"/>
            <wp:docPr id="11" name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6479591" cy="3410425"/>
                    </a:xfrm>
                    <a:prstGeom prst="rect">
                      <a:srcRec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Et pour charger un module: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Import-module NomDuModule </w:t>
      </w: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(indiquer le nom complet)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Pour décharger un module de la mémoire: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remove-module (cela ne le détruira pas)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color w:val="000000"/>
          <w:sz w:val="24"/>
          <w:szCs w:val="24"/>
          <w:u w:val="single"/>
        </w:rPr>
        <w:t xml:space="preserve">3. Get-Member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Get-Member obtient </w:t>
      </w: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 </w:t>
      </w: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les propriétés et les méthodes des objets, il permet d’avoir les membres des objets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Exemple: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Get-Service | Get-Member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Contrairement a «Get-service», «Get-Service | Get-Member» affiche le TypeName, MemberType et Definition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drawing>
          <wp:inline>
            <wp:extent cx="6479591" cy="3285153"/>
            <wp:effectExtent l="0" t="0" r="0" b="0"/>
            <wp:docPr id="12" name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6479591" cy="3285152"/>
                    </a:xfrm>
                    <a:prstGeom prst="rect">
                      <a:srcRec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jc w:val="center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color w:val="000000"/>
          <w:sz w:val="24"/>
          <w:szCs w:val="24"/>
          <w:u w:val="single"/>
        </w:rPr>
        <w:t xml:space="preserve">III. </w:t>
      </w:r>
      <w:r>
        <w:rPr>
          <w:rFonts w:ascii="Liberation Serif" w:hAnsi="Liberation Serif" w:eastAsia="Liberation Serif" w:cs="Liberation Serif"/>
          <w:color w:val="000000"/>
          <w:sz w:val="24"/>
          <w:szCs w:val="24"/>
          <w:u w:val="single"/>
        </w:rPr>
        <w:t xml:space="preserve">Script</w:t>
      </w:r>
    </w:p>
    <w:p>
      <w:pPr>
        <w:jc w:val="center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color w:val="000000"/>
          <w:sz w:val="24"/>
          <w:szCs w:val="24"/>
          <w:u w:val="single"/>
        </w:rPr>
        <w:t xml:space="preserve">1. Base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Les script Powershell s’exécutent sous une stratégie d’exécution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Pour afficher la stratégie d’exécution: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Get-ExecutionPolicy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Les principales valeurs seront: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tbl>
      <w:tblGrid>
        <w:gridCol w:w="4815" w:type="dxa"/>
        <w:gridCol w:w="4815" w:type="dxa"/>
      </w:tblGrid>
      <w:tblPr>
        <w:jc w:val="left"/>
        <w:tblW w:w="9630" w:type="dxa"/>
        <w:tblBorders>
          <w:top w:val="" w:sz="6" w:color="999999"/>
          <w:left w:val="" w:sz="6" w:color="999999"/>
          <w:right w:val="" w:sz="6" w:color="999999"/>
          <w:bottom w:val="" w:sz="6" w:color="999999"/>
          <w:insideH w:val="" w:sz="6" w:color="999999"/>
          <w:insideV w:val="" w:sz="6" w:color="999999"/>
        </w:tblBorders>
        <w:tblLayout w:type="fixed"/>
        <w:tblInd w:w="0" w:type="dxa"/>
      </w:tblPr>
      <w:tr>
        <w:trPr>
          <w:trHeight w:val="330" w:hRule="atLeast"/>
        </w:trPr>
        <w:tc>
          <w:tcPr>
            <w:tcW w:w="4815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b2b2b2"/>
          </w:tcPr>
          <w:p>
            <w:pPr>
              <w:jc w:val="center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Mode</w:t>
            </w:r>
          </w:p>
        </w:tc>
        <w:tc>
          <w:tcPr>
            <w:tcW w:w="4815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b2b2b2"/>
          </w:tcPr>
          <w:p>
            <w:pPr>
              <w:jc w:val="center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Détails du mode</w:t>
            </w:r>
          </w:p>
        </w:tc>
      </w:tr>
      <w:tr>
        <w:trPr>
          <w:trHeight w:val="330" w:hRule="atLeast"/>
        </w:trPr>
        <w:tc>
          <w:tcPr>
            <w:tcW w:w="4815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Restricted</w:t>
            </w:r>
          </w:p>
        </w:tc>
        <w:tc>
          <w:tcPr>
            <w:tcW w:w="4815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Aucune exécution de script n’est autorisé</w:t>
            </w:r>
          </w:p>
        </w:tc>
      </w:tr>
      <w:tr>
        <w:trPr>
          <w:trHeight w:val="330" w:hRule="atLeast"/>
        </w:trPr>
        <w:tc>
          <w:tcPr>
            <w:tcW w:w="4815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RemoteSigned</w:t>
            </w:r>
          </w:p>
        </w:tc>
        <w:tc>
          <w:tcPr>
            <w:tcW w:w="4815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Les scripts locaux sont autorisés mais les distants doivent être signés</w:t>
            </w:r>
          </w:p>
        </w:tc>
      </w:tr>
      <w:tr>
        <w:trPr>
          <w:trHeight w:val="330" w:hRule="atLeast"/>
        </w:trPr>
        <w:tc>
          <w:tcPr>
            <w:tcW w:w="4815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AllSigned</w:t>
            </w:r>
          </w:p>
        </w:tc>
        <w:tc>
          <w:tcPr>
            <w:tcW w:w="4815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Tous les scripts doivent être signés pour être utilisés</w:t>
            </w:r>
          </w:p>
        </w:tc>
      </w:tr>
      <w:tr>
        <w:trPr>
          <w:trHeight w:val="330" w:hRule="atLeast"/>
        </w:trPr>
        <w:tc>
          <w:tcPr>
            <w:tcW w:w="4815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Unrestricted</w:t>
            </w:r>
          </w:p>
        </w:tc>
        <w:tc>
          <w:tcPr>
            <w:tcW w:w="4815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Tous les scripts peuvent êtres exécutés</w:t>
            </w:r>
          </w:p>
        </w:tc>
      </w:tr>
    </w:tbl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Lors du lancement de l’interpréteur il est possible d’outrepasser la stratégie d’exécution: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Powershell.exe -ExecutionPolicy bypass -file monscript.ps1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color w:val="000000"/>
          <w:sz w:val="24"/>
          <w:szCs w:val="24"/>
          <w:u w:val="single"/>
        </w:rPr>
        <w:t xml:space="preserve">2. Edition de GPO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Pour autoriser l’exécution de script, </w:t>
      </w: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«gpedit.msc» permet d’accéder au gestionnaire de stratégie au groupe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Puis: Configuration Ordinateur &gt; Modèles d’administrateur &gt; Composants Windows &gt; Windows Powershell &gt; Activer l’exécution des scripts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drawing>
          <wp:inline>
            <wp:extent cx="6460873" cy="5105558"/>
            <wp:effectExtent l="0" t="0" r="0" b="0"/>
            <wp:docPr id="13" name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6" t="1137"/>
                    <a:stretch/>
                  </pic:blipFill>
                  <pic:spPr>
                    <a:xfrm>
                      <a:off x="0" y="0"/>
                      <a:ext cx="6460873" cy="5105558"/>
                    </a:xfrm>
                    <a:prstGeom prst="rect">
                      <a:srcRec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 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center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color w:val="000000"/>
          <w:sz w:val="24"/>
          <w:szCs w:val="24"/>
          <w:u w:val="single"/>
        </w:rPr>
        <w:t xml:space="preserve">IV. Dot-sourcing</w:t>
      </w:r>
    </w:p>
    <w:p>
      <w:pPr>
        <w:jc w:val="center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Le dot-sourcing consiste a mettre un point devant le nom d’un script a exécuter (exemple: . .\monscript.ps1) 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Lorsque cette syntaxe est utilisé, elle a pour but de garder les variables et fonctions dans le contexte d’exécution, c’est a dire qu’elle agit comme une commande «include» qui permet de charger une bibliothèque de fonctions se trouvant dans un fichier complémentaire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Exemple: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drawing>
          <wp:inline>
            <wp:extent cx="4049024" cy="1724651"/>
            <wp:effectExtent l="0" t="0" r="0" b="0"/>
            <wp:docPr id="14" name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049024" cy="1724651"/>
                    </a:xfrm>
                    <a:prstGeom prst="rect">
                      <a:srcRec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Function Get-WMIServices</w:t>
      </w:r>
      <w:r>
        <w:br/>
      </w: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{</w:t>
      </w:r>
      <w:r>
        <w:br/>
      </w: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Get-WmiObject win32_service |</w:t>
      </w:r>
      <w:r>
        <w:br/>
      </w: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Select-Object State,Name,DisplayName,StartMode</w:t>
      </w:r>
      <w:r>
        <w:br/>
      </w: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}</w:t>
      </w:r>
    </w:p>
    <w:p>
      <w:pPr>
        <w:jc w:val="left"/>
        <w:ind w:firstLine="0"/>
        <w:spacing w:before="0" w:after="140" w:line="276" w:lineRule="auto"/>
      </w:pPr>
      <w:r>
        <w:br/>
      </w: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$Result = Get-WMIServices</w:t>
      </w:r>
    </w:p>
    <w:p>
      <w:pPr>
        <w:jc w:val="left"/>
        <w:ind w:firstLine="0"/>
        <w:spacing w:before="0" w:after="140" w:line="276" w:lineRule="auto"/>
      </w:pPr>
      <w:r>
        <w:br/>
      </w: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Echo "Script terminé."</w:t>
      </w:r>
    </w:p>
    <w:p>
      <w:pPr>
        <w:jc w:val="left"/>
        <w:ind w:firstLine="0"/>
        <w:spacing w:before="0" w:after="140" w:line="276" w:lineRule="auto"/>
      </w:pPr>
    </w:p>
    <w:p>
      <w:pPr>
        <w:jc w:val="left"/>
        <w:ind w:firstLine="0"/>
        <w:spacing w:before="0" w:after="140" w:line="276" w:lineRule="auto"/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Après avoir fait ce code, enregistrez le puis exécutez le dans Powershell avec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.\testscript.ps1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. .\testscript.ps1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les deux résultats sont identiques mais la fonction «Get-VMIServices» est chargée dans le contexte de la console. Pour vérifier, appelez la fonction ou la variable $result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Le dot-sourcing permet d’exécuter un script (les variables et les fonctions) qui aurait été détruit à la fin de l’exécution, le rendant réutilisable dans le contexte appelant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Qu’est ce que le scope (portée, étendue)? Le scope détemrine la visibilité des variables et des fonctions,</w:t>
      </w:r>
    </w:p>
    <w:p>
      <w:pPr>
        <w:jc w:val="left"/>
        <w:ind w:right="-566" w:firstLine="0"/>
        <w:spacing w:before="0" w:after="0" w:line="240" w:lineRule="auto"/>
        <w:tabs>
          <w:tab w:val="left" w:leader="none" w:pos="10308"/>
        </w:tabs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lorsque vous exécutez un script sur Powershell, cela créer un contexte d’exécution nommée «portée enfant», elle correspond a la session sur laquelle elle a été créée. Elle hérite des variables et des fonctions de son parent. </w:t>
      </w: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Elles peuvent être lues et exploitées dans la portée enfant mais pas modifié. Les portées parents ne peuvent ni lire, ni modifier les fonctions et variables de leurs enfants.</w:t>
      </w:r>
    </w:p>
    <w:p>
      <w:pPr>
        <w:jc w:val="left"/>
        <w:ind w:firstLine="0"/>
        <w:spacing w:before="0" w:after="140" w:line="276" w:lineRule="auto"/>
      </w:pPr>
      <w:r>
        <w:br/>
      </w:r>
      <w:r>
        <w:rPr>
          <w:rFonts w:ascii="Liberation Serif" w:hAnsi="Liberation Serif" w:eastAsia="Liberation Serif" w:cs="Liberation Serif"/>
          <w:sz w:val="24"/>
          <w:szCs w:val="24"/>
        </w:rPr>
        <w:t xml:space="preserve">Les fonctions et variables sont déclarés en local mais nous pouvons choisir la portée via l’option </w:t>
      </w: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sz w:val="24"/>
          <w:szCs w:val="24"/>
        </w:rPr>
        <w:t xml:space="preserve">«-scope» ou avec un des préfixe suivant:</w:t>
      </w:r>
    </w:p>
    <w:tbl>
      <w:tblGrid>
        <w:gridCol w:w="4815" w:type="dxa"/>
        <w:gridCol w:w="4815" w:type="dxa"/>
      </w:tblGrid>
      <w:tblPr>
        <w:jc w:val="left"/>
        <w:tblW w:w="9630" w:type="dxa"/>
        <w:tblBorders>
          <w:top w:val="" w:sz="6" w:color="999999"/>
          <w:left w:val="" w:sz="6" w:color="999999"/>
          <w:right w:val="" w:sz="6" w:color="999999"/>
          <w:bottom w:val="" w:sz="6" w:color="999999"/>
          <w:insideH w:val="" w:sz="6" w:color="999999"/>
          <w:insideV w:val="" w:sz="6" w:color="999999"/>
        </w:tblBorders>
        <w:tblLayout w:type="fixed"/>
        <w:tblInd w:w="0" w:type="dxa"/>
      </w:tblPr>
      <w:tr>
        <w:trPr>
          <w:trHeight w:val="330" w:hRule="atLeast"/>
        </w:trPr>
        <w:tc>
          <w:tcPr>
            <w:tcW w:w="4815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b2b2b2"/>
          </w:tcPr>
          <w:p>
            <w:pPr>
              <w:jc w:val="center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Préfixe</w:t>
            </w:r>
          </w:p>
        </w:tc>
        <w:tc>
          <w:tcPr>
            <w:tcW w:w="4815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b2b2b2"/>
          </w:tcPr>
          <w:p>
            <w:pPr>
              <w:jc w:val="center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Description</w:t>
            </w:r>
          </w:p>
        </w:tc>
      </w:tr>
      <w:tr>
        <w:trPr>
          <w:trHeight w:val="330" w:hRule="atLeast"/>
        </w:trPr>
        <w:tc>
          <w:tcPr>
            <w:tcW w:w="4815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$</w:t>
            </w:r>
            <w:r>
              <w:rPr>
                <w:rFonts w:ascii="Liberation Serif" w:hAnsi="Liberation Serif" w:eastAsia="Liberation Serif" w:cs="Liberation Serif"/>
                <w:sz w:val="24"/>
                <w:szCs w:val="24"/>
                <w:b/>
              </w:rPr>
              <w:t xml:space="preserve">global</w:t>
            </w: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:var</w:t>
            </w:r>
          </w:p>
        </w:tc>
        <w:tc>
          <w:tcPr>
            <w:tcW w:w="4815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Permet d’accéder a la portée générale ou initiale</w:t>
            </w:r>
          </w:p>
        </w:tc>
      </w:tr>
      <w:tr>
        <w:trPr>
          <w:trHeight w:val="330" w:hRule="atLeast"/>
        </w:trPr>
        <w:tc>
          <w:tcPr>
            <w:tcW w:w="4815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$</w:t>
            </w:r>
            <w:r>
              <w:rPr>
                <w:rFonts w:ascii="Liberation Serif" w:hAnsi="Liberation Serif" w:eastAsia="Liberation Serif" w:cs="Liberation Serif"/>
                <w:sz w:val="24"/>
                <w:szCs w:val="24"/>
                <w:b/>
              </w:rPr>
              <w:t xml:space="preserve">local</w:t>
            </w: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:var</w:t>
            </w:r>
          </w:p>
        </w:tc>
        <w:tc>
          <w:tcPr>
            <w:tcW w:w="4815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Portée actuelle créé lors de l’exécution d’une fonction, d’un script ou d’un bloc d’instructions</w:t>
            </w:r>
          </w:p>
        </w:tc>
      </w:tr>
      <w:tr>
        <w:trPr>
          <w:trHeight w:val="330" w:hRule="atLeast"/>
        </w:trPr>
        <w:tc>
          <w:tcPr>
            <w:tcW w:w="4815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$</w:t>
            </w:r>
            <w:r>
              <w:rPr>
                <w:rFonts w:ascii="Liberation Serif" w:hAnsi="Liberation Serif" w:eastAsia="Liberation Serif" w:cs="Liberation Serif"/>
                <w:sz w:val="24"/>
                <w:szCs w:val="24"/>
                <w:b/>
              </w:rPr>
              <w:t xml:space="preserve">script</w:t>
            </w: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:var</w:t>
            </w:r>
          </w:p>
        </w:tc>
        <w:tc>
          <w:tcPr>
            <w:tcW w:w="4815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color w:val="000000"/>
                <w:sz w:val="24"/>
                <w:szCs w:val="24"/>
              </w:rPr>
              <w:t xml:space="preserve">Permet d'accéder à une variable du script à partir d'une fonction déclarée au sein même de celui-ci</w:t>
            </w:r>
          </w:p>
        </w:tc>
      </w:tr>
      <w:tr>
        <w:trPr>
          <w:trHeight w:val="330" w:hRule="atLeast"/>
        </w:trPr>
        <w:tc>
          <w:tcPr>
            <w:tcW w:w="4815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$</w:t>
            </w:r>
            <w:r>
              <w:rPr>
                <w:rFonts w:ascii="Liberation Serif" w:hAnsi="Liberation Serif" w:eastAsia="Liberation Serif" w:cs="Liberation Serif"/>
                <w:sz w:val="24"/>
                <w:szCs w:val="24"/>
                <w:b/>
              </w:rPr>
              <w:t xml:space="preserve">private</w:t>
            </w: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:var</w:t>
            </w:r>
          </w:p>
        </w:tc>
        <w:tc>
          <w:tcPr>
            <w:tcW w:w="4815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color w:val="000000"/>
                <w:sz w:val="24"/>
                <w:szCs w:val="24"/>
              </w:rPr>
              <w:t xml:space="preserve">Usage de variables strictement réservées et visibles uniquement dans la portée actuelle (=non cessible ou pas d'héritage) </w:t>
            </w:r>
            <w:r>
              <w:br/>
            </w:r>
          </w:p>
        </w:tc>
      </w:tr>
      <w:tr>
        <w:trPr>
          <w:trHeight w:val="330" w:hRule="atLeast"/>
        </w:trPr>
        <w:tc>
          <w:tcPr>
            <w:tcW w:w="4815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$</w:t>
            </w:r>
            <w:r>
              <w:rPr>
                <w:rFonts w:ascii="Liberation Serif" w:hAnsi="Liberation Serif" w:eastAsia="Liberation Serif" w:cs="Liberation Serif"/>
                <w:sz w:val="24"/>
                <w:szCs w:val="24"/>
                <w:b/>
              </w:rPr>
              <w:t xml:space="preserve">using</w:t>
            </w:r>
            <w:r>
              <w:rPr>
                <w:rFonts w:ascii="Liberation Serif" w:hAnsi="Liberation Serif" w:eastAsia="Liberation Serif" w:cs="Liberation Serif"/>
                <w:sz w:val="24"/>
                <w:szCs w:val="24"/>
              </w:rPr>
              <w:t xml:space="preserve">:var</w:t>
            </w:r>
          </w:p>
        </w:tc>
        <w:tc>
          <w:tcPr>
            <w:tcW w:w="4815" w:type="dxa"/>
            <w:vAlign w:val="top"/>
            <w:tcBorders>
              <w:top w:val="single" w:sz="8" w:color="000000"/>
              <w:left w:val="single" w:sz="8" w:color="000000"/>
              <w:right w:val="single" w:sz="8" w:color="000000"/>
              <w:bottom w:val="single" w:sz="8" w:color="000000"/>
            </w:tcBorders>
            <w:shd w:val="clear" w:color="auto" w:fill=""/>
          </w:tcPr>
          <w:p>
            <w:pPr>
              <w:jc w:val="left"/>
              <w:ind w:firstLine="0"/>
              <w:spacing w:before="0" w:after="0" w:line="240" w:lineRule="auto"/>
            </w:pPr>
            <w:r>
              <w:rPr>
                <w:rFonts w:ascii="Liberation Serif" w:hAnsi="Liberation Serif" w:eastAsia="Liberation Serif" w:cs="Liberation Serif"/>
                <w:color w:val="000000"/>
                <w:sz w:val="24"/>
                <w:szCs w:val="24"/>
              </w:rPr>
              <w:t xml:space="preserve">Permet de passer une variable "locale" à un script exécuté sur un ordinateur distant</w:t>
            </w:r>
            <w:r>
              <w:br/>
            </w:r>
          </w:p>
        </w:tc>
      </w:tr>
    </w:tbl>
    <w:p>
      <w:pPr>
        <w:jc w:val="left"/>
        <w:ind w:firstLine="0"/>
        <w:spacing w:before="0" w:after="140" w:line="276" w:lineRule="auto"/>
      </w:pP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sz w:val="24"/>
          <w:szCs w:val="24"/>
        </w:rPr>
        <w:t xml:space="preserve">Pour plus d’information: help about_scope</w:t>
      </w:r>
    </w:p>
    <w:p>
      <w:pPr>
        <w:jc w:val="center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sz w:val="24"/>
          <w:szCs w:val="24"/>
          <w:u w:val="single"/>
        </w:rPr>
        <w:t xml:space="preserve">V. Les profils</w:t>
      </w: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sz w:val="24"/>
          <w:szCs w:val="24"/>
        </w:rPr>
        <w:t xml:space="preserve">Contrairement au «.profile» d’Unix, cette notion, lors d’une l’ouverture d’une session Powershell permettras de définir des préférences. </w:t>
      </w:r>
      <w:r>
        <w:rPr>
          <w:rFonts w:ascii="Liberation Serif" w:hAnsi="Liberation Serif" w:eastAsia="Liberation Serif" w:cs="Liberation Serif"/>
          <w:sz w:val="24"/>
          <w:szCs w:val="24"/>
        </w:rPr>
        <w:t xml:space="preserve">Les préférences sont un ensemble de scripts .ps1 exécuter au démarrage de Powershell</w:t>
      </w: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sz w:val="24"/>
          <w:szCs w:val="24"/>
        </w:rPr>
        <w:t xml:space="preserve">Les scripts de profils sont exécutés dans cet ordre</w:t>
      </w: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Niveau machine </w:t>
      </w:r>
    </w:p>
    <w:p>
      <w:pPr>
        <w:jc w:val="left"/>
        <w:ind w:firstLine="0"/>
        <w:spacing w:before="0" w:after="225" w:line="384" w:lineRule="auto"/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1.</w:t>
      </w: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%windir%/system32/WindowsPowerShell/v1.0/profile.ps1</w:t>
      </w:r>
      <w:r>
        <w:br/>
      </w: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2.</w:t>
      </w: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% windir %/system32/WindowsPowerShell/v1.0/Microsoft. WindowsPowerShell_profile.ps1</w:t>
      </w:r>
    </w:p>
    <w:p>
      <w:pPr>
        <w:jc w:val="both"/>
        <w:ind w:firstLine="0"/>
        <w:spacing w:before="0" w:after="0" w:line="384" w:lineRule="auto"/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Niveau utilisateur</w:t>
      </w:r>
    </w:p>
    <w:p>
      <w:pPr>
        <w:jc w:val="both"/>
        <w:ind w:firstLine="0"/>
        <w:spacing w:before="0" w:after="225" w:line="384" w:lineRule="auto"/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3.</w:t>
      </w: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%userprofile%/Mesdocuments/WindowsPowerShell/profile.ps1</w:t>
      </w:r>
      <w:r>
        <w:br/>
      </w: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4.</w:t>
      </w: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%userprofile%/Mesdocuments/WindowsPowerShell/Microsoft. WindowsPowerShell_profile.ps1</w:t>
      </w: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sz w:val="24"/>
          <w:szCs w:val="24"/>
        </w:rPr>
        <w:t xml:space="preserve">Pour créer votre profil, tapez la commande:</w:t>
      </w: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sz w:val="24"/>
          <w:szCs w:val="24"/>
        </w:rPr>
        <w:t xml:space="preserve">new-item -path $PROFILE -type file -force</w:t>
      </w: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Voici un exemple de script de profil:</w:t>
      </w: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#-----------------------------------------------------------------------</w:t>
      </w: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# fonction alternative à l'applet "Get-Service" afin d'obtenir</w:t>
      </w: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# le type de démarrage (via WMI)</w:t>
      </w: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Function Get-WMIServices</w:t>
      </w: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{</w:t>
      </w: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Get-WmiObject win32_service | Select-Object State,Name,DisplayName,StartMode</w:t>
      </w: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}</w:t>
      </w: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#-----------------------------------------------------------------------</w:t>
      </w: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# fonction d'affichage graphique d'un message (basée sur l'objet COM)</w:t>
      </w: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function Popup</w:t>
      </w: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{</w:t>
      </w: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param (</w:t>
      </w: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$Message='Pas de message',</w:t>
      </w: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$Titre='Indiquez un titre',</w:t>
      </w: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$Secondes=0</w:t>
      </w: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)</w:t>
      </w:r>
    </w:p>
    <w:p>
      <w:pPr>
        <w:jc w:val="left"/>
        <w:ind w:firstLine="0"/>
        <w:spacing w:before="0" w:after="140" w:line="276" w:lineRule="auto"/>
      </w:pP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$wshShell = New-Object -ComObject wscript.shell</w:t>
      </w: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$wshShell.popup($Message, $Secondes, $Titre)</w:t>
      </w: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}</w:t>
      </w:r>
    </w:p>
    <w:p>
      <w:pPr>
        <w:jc w:val="left"/>
        <w:ind w:firstLine="0"/>
        <w:spacing w:before="0" w:after="140" w:line="276" w:lineRule="auto"/>
      </w:pP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#-----------------------------------------------------------------------</w:t>
      </w: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# fonction alternative à la commande "Whoami" (basée sur un objet .NET)</w:t>
      </w: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function Qui-SuisJe</w:t>
      </w: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{</w:t>
      </w: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[system.security.principal.windowsidentity]::getcurrent().Name</w:t>
      </w: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}</w:t>
      </w:r>
    </w:p>
    <w:p>
      <w:pPr>
        <w:jc w:val="left"/>
        <w:ind w:firstLine="0"/>
        <w:spacing w:before="0" w:after="140" w:line="276" w:lineRule="auto"/>
      </w:pP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#-----------------------------------------------------------------------</w:t>
      </w: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# Change la couleur d'affichage des messages d'erreur ('red' par défaut)</w:t>
      </w: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$Host.PrivateData.ErrorForegroundColor='magenta'</w:t>
      </w:r>
    </w:p>
    <w:p>
      <w:pPr>
        <w:jc w:val="left"/>
        <w:ind w:firstLine="0"/>
        <w:spacing w:before="0" w:after="140" w:line="276" w:lineRule="auto"/>
      </w:pP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#-----------------------------------------------------------------------</w:t>
      </w: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# Définition de mes alias favoris </w:t>
      </w: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New-Alias -Name Grep -Value Select-String</w:t>
      </w: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Set-Alias -Name Out-Clip -Value C:\Windows\System32\clip.exe</w:t>
      </w:r>
    </w:p>
    <w:p>
      <w:pPr>
        <w:jc w:val="left"/>
        <w:ind w:firstLine="0"/>
        <w:spacing w:before="0" w:after="140" w:line="276" w:lineRule="auto"/>
      </w:pP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set-Location C:\Scripts</w:t>
      </w:r>
    </w:p>
    <w:p>
      <w:pPr>
        <w:jc w:val="left"/>
        <w:ind w:firstLine="0"/>
        <w:spacing w:before="0" w:after="140" w:line="276" w:lineRule="auto"/>
      </w:pP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Popup -Message "Bonjour $env:USERNAME" -Titre "Accueil Powershell" -Secondes 3</w:t>
      </w:r>
    </w:p>
    <w:p>
      <w:pPr>
        <w:jc w:val="left"/>
        <w:ind w:firstLine="0"/>
        <w:spacing w:before="0" w:after="140" w:line="276" w:lineRule="auto"/>
      </w:pPr>
      <w:r>
        <w:br/>
      </w: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pour tester votre profil, ouvrez une nouvelle session puis exécuter le en dot-sourcing:</w:t>
      </w: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. </w:t>
      </w: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$PROFILE</w:t>
      </w:r>
    </w:p>
    <w:p>
      <w:pPr>
        <w:jc w:val="center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sz w:val="24"/>
          <w:szCs w:val="24"/>
          <w:u w:val="single"/>
        </w:rPr>
        <w:t xml:space="preserve">VI. Gestion à distance</w:t>
      </w:r>
    </w:p>
    <w:p>
      <w:pPr>
        <w:jc w:val="center"/>
        <w:ind w:firstLine="0"/>
        <w:spacing w:before="0" w:after="140" w:line="276" w:lineRule="auto"/>
      </w:pP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sz w:val="24"/>
          <w:szCs w:val="24"/>
          <w:u w:val="single"/>
        </w:rPr>
        <w:t xml:space="preserve">1. Configuration</w:t>
      </w:r>
    </w:p>
    <w:p>
      <w:pPr>
        <w:jc w:val="left"/>
        <w:ind w:firstLine="0"/>
        <w:spacing w:before="0" w:after="140" w:line="276" w:lineRule="auto"/>
      </w:pP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sz w:val="24"/>
          <w:szCs w:val="24"/>
        </w:rPr>
        <w:t xml:space="preserve">Pour configurer l’accès à distance, entrez cette commande sur le poste sur lequel vous voulez accéder à distance:</w:t>
      </w: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sz w:val="24"/>
          <w:szCs w:val="24"/>
        </w:rPr>
        <w:t xml:space="preserve">Enable-PSRemoting</w:t>
      </w: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sz w:val="24"/>
          <w:szCs w:val="24"/>
        </w:rPr>
        <w:t xml:space="preserve">La commande précédente active l’accès distance via le protocole HTTP, cela requiert l’authentification Kerberos pour la sécurité</w:t>
      </w:r>
    </w:p>
    <w:p>
      <w:pPr>
        <w:jc w:val="left"/>
        <w:ind w:firstLine="0"/>
        <w:spacing w:before="0" w:after="140" w:line="276" w:lineRule="auto"/>
      </w:pP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sz w:val="24"/>
          <w:szCs w:val="24"/>
        </w:rPr>
        <w:t xml:space="preserve">Pour avoir une identifiant autre que celui que celui de notre session pour accéder a distance, préparez une pièce d’identité:</w:t>
      </w: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sz w:val="24"/>
          <w:szCs w:val="24"/>
        </w:rPr>
        <w:t xml:space="preserve">$cred = get-credential DomainOuMachine\Compte</w:t>
      </w:r>
    </w:p>
    <w:p>
      <w:pPr>
        <w:jc w:val="left"/>
        <w:ind w:firstLine="0"/>
        <w:spacing w:before="0" w:after="140" w:line="276" w:lineRule="auto"/>
      </w:pPr>
      <w:r>
        <w:drawing>
          <wp:inline>
            <wp:extent cx="3096524" cy="2191181"/>
            <wp:effectExtent l="0" t="0" r="0" b="0"/>
            <wp:docPr id="15" name="image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096524" cy="2191181"/>
                    </a:xfrm>
                    <a:prstGeom prst="rect">
                      <a:srcRec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jc w:val="left"/>
        <w:ind w:firstLine="0"/>
        <w:spacing w:before="0" w:after="140" w:line="276" w:lineRule="auto"/>
      </w:pPr>
    </w:p>
    <w:p>
      <w:pPr>
        <w:jc w:val="left"/>
        <w:ind w:firstLine="0"/>
        <w:spacing w:before="0" w:after="140" w:line="276" w:lineRule="auto"/>
      </w:pPr>
    </w:p>
    <w:p>
      <w:pPr>
        <w:jc w:val="left"/>
        <w:ind w:firstLine="0"/>
        <w:spacing w:before="0" w:after="140" w:line="276" w:lineRule="auto"/>
      </w:pPr>
    </w:p>
    <w:p>
      <w:pPr>
        <w:jc w:val="left"/>
        <w:ind w:firstLine="0"/>
        <w:spacing w:before="0" w:after="140" w:line="276" w:lineRule="auto"/>
      </w:pPr>
    </w:p>
    <w:p>
      <w:pPr>
        <w:jc w:val="left"/>
        <w:ind w:firstLine="0"/>
        <w:spacing w:before="0" w:after="140" w:line="276" w:lineRule="auto"/>
      </w:pPr>
    </w:p>
    <w:p>
      <w:pPr>
        <w:jc w:val="left"/>
        <w:ind w:firstLine="0"/>
        <w:spacing w:before="0" w:after="140" w:line="276" w:lineRule="auto"/>
      </w:pPr>
    </w:p>
    <w:p>
      <w:pPr>
        <w:jc w:val="left"/>
        <w:ind w:firstLine="0"/>
        <w:spacing w:before="0" w:after="140" w:line="276" w:lineRule="auto"/>
      </w:pPr>
    </w:p>
    <w:p>
      <w:pPr>
        <w:jc w:val="left"/>
        <w:ind w:firstLine="0"/>
        <w:spacing w:before="0" w:after="140" w:line="276" w:lineRule="auto"/>
      </w:pP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sz w:val="24"/>
          <w:szCs w:val="24"/>
          <w:u w:val="single"/>
        </w:rPr>
        <w:t xml:space="preserve">2. Accès distant en mode session</w:t>
      </w:r>
    </w:p>
    <w:p>
      <w:pPr>
        <w:jc w:val="left"/>
        <w:ind w:firstLine="0"/>
        <w:spacing w:before="0" w:after="140" w:line="276" w:lineRule="auto"/>
      </w:pP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sz w:val="24"/>
          <w:szCs w:val="24"/>
        </w:rPr>
        <w:t xml:space="preserve">Enter-PSSession -ComputerName NomMachineCible -Credential $Cred</w:t>
      </w:r>
    </w:p>
    <w:p>
      <w:pPr>
        <w:jc w:val="left"/>
        <w:ind w:firstLine="0"/>
        <w:spacing w:before="0" w:after="140" w:line="276" w:lineRule="auto"/>
      </w:pP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sz w:val="24"/>
          <w:szCs w:val="24"/>
        </w:rPr>
        <w:t xml:space="preserve">Si vous n’avez pas d’identifiant:</w:t>
      </w: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sz w:val="24"/>
          <w:szCs w:val="24"/>
        </w:rPr>
        <w:t xml:space="preserve">Enter-PSSession -ComputerName NomMachineCible </w:t>
      </w:r>
      <w:r>
        <w:rPr>
          <w:rFonts w:ascii="Liberation Serif" w:hAnsi="Liberation Serif" w:eastAsia="Liberation Serif" w:cs="Liberation Serif"/>
          <w:sz w:val="24"/>
          <w:szCs w:val="24"/>
        </w:rPr>
        <w:t xml:space="preserve">Credential $GetCredential)</w:t>
      </w:r>
    </w:p>
    <w:p>
      <w:pPr>
        <w:jc w:val="left"/>
        <w:ind w:firstLine="0"/>
        <w:spacing w:before="0" w:after="140" w:line="276" w:lineRule="auto"/>
      </w:pP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sz w:val="24"/>
          <w:szCs w:val="24"/>
          <w:u w:val="single"/>
        </w:rPr>
        <w:t xml:space="preserve">3. Mode invocation ponctuelle</w:t>
      </w:r>
    </w:p>
    <w:p>
      <w:pPr>
        <w:jc w:val="left"/>
        <w:ind w:firstLine="0"/>
        <w:spacing w:before="0" w:after="0" w:line="240" w:lineRule="auto"/>
      </w:pPr>
    </w:p>
    <w:p>
      <w:pPr>
        <w:jc w:val="left"/>
        <w:ind w:firstLine="0"/>
        <w:spacing w:before="0" w:after="0" w:line="240" w:lineRule="auto"/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$command = { get-service }Invoke-Command –ComputerName NomMachineCible –ScriptBlock $command –Credential $(Get-Credential)</w:t>
      </w:r>
    </w:p>
    <w:p>
      <w:pPr>
        <w:jc w:val="left"/>
        <w:ind w:firstLine="0"/>
        <w:spacing w:before="0" w:after="140" w:line="276" w:lineRule="auto"/>
      </w:pP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sz w:val="24"/>
          <w:szCs w:val="24"/>
        </w:rPr>
        <w:t xml:space="preserve">Pour envoyer des commandes à plusieurs machines en ordinateurs temps:</w:t>
      </w:r>
    </w:p>
    <w:p>
      <w:pPr>
        <w:jc w:val="left"/>
        <w:ind w:firstLine="0"/>
        <w:spacing w:before="0" w:after="0" w:line="240" w:lineRule="auto"/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Invoke-Command –ComputerName Server1,Server2,Server3 –ScriptBlock $command –Credential $(Get-Credential)</w:t>
      </w:r>
    </w:p>
    <w:p>
      <w:pPr>
        <w:jc w:val="left"/>
        <w:ind w:firstLine="0"/>
        <w:spacing w:before="0" w:after="140" w:line="276" w:lineRule="auto"/>
      </w:pP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Avec un fichier texte contenant la liste des machines a contacter:</w:t>
      </w:r>
    </w:p>
    <w:p>
      <w:pPr>
        <w:jc w:val="left"/>
        <w:ind w:firstLine="0"/>
        <w:spacing w:before="0" w:after="0" w:line="240" w:lineRule="auto"/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Invoke-Command –ComputerName (Get-Content machines.txt) –ScriptBlock { get-service }</w:t>
      </w:r>
    </w:p>
    <w:p>
      <w:pPr>
        <w:jc w:val="left"/>
        <w:ind w:firstLine="0"/>
        <w:spacing w:before="0" w:after="140" w:line="276" w:lineRule="auto"/>
      </w:pPr>
    </w:p>
    <w:p>
      <w:pPr>
        <w:jc w:val="left"/>
        <w:ind w:firstLine="0"/>
        <w:spacing w:before="0" w:after="140" w:line="276" w:lineRule="auto"/>
      </w:pP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color w:val="000000"/>
          <w:sz w:val="24"/>
          <w:szCs w:val="24"/>
          <w:u w:val="single"/>
        </w:rPr>
        <w:t xml:space="preserve">4. Mode Web</w:t>
      </w:r>
    </w:p>
    <w:p>
      <w:pPr>
        <w:jc w:val="left"/>
        <w:ind w:firstLine="0"/>
        <w:spacing w:before="0" w:after="140" w:line="276" w:lineRule="auto"/>
      </w:pPr>
    </w:p>
    <w:p>
      <w:pPr>
        <w:jc w:val="left"/>
        <w:ind w:firstLine="0"/>
        <w:spacing w:before="0" w:after="140" w:line="276" w:lineRule="auto"/>
      </w:pPr>
      <w:r>
        <w:rPr>
          <w:rFonts w:ascii="Liberation Serif" w:hAnsi="Liberation Serif" w:eastAsia="Liberation Serif" w:cs="Liberation Serif"/>
          <w:color w:val="000000"/>
          <w:sz w:val="24"/>
          <w:szCs w:val="24"/>
        </w:rPr>
        <w:t xml:space="preserve">Powershell Web Access permet d’accéder en mode commande à des machines depuis un navigateur internet</w:t>
      </w:r>
    </w:p>
    <w:sectPr>
      <w:headerReference w:type="default" r:id="rId27"/>
      <w:footerReference w:type="default" r:id="rId30"/>
      <w:pgSz w:orient="portrait" w:w="11906" w:h="16838" w:code="9"/>
      <w:pgMar w:top="1134" w:right="1134" w:bottom="1134" w:left="1134" w:header="720" w:footer="720" w:gutter="0"/>
      <w:cols w:num="1" w:space="72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jc w:val="left"/>
      <w:ind w:firstLine="0"/>
      <w:spacing w:before="0" w:after="0" w:line="240" w:lineRule="auto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jc w:val="left"/>
      <w:ind w:firstLine="0"/>
      <w:spacing w:before="0" w:after="0" w:line="240" w:lineRule="auto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jc w:val="left"/>
      <w:ind w:firstLine="0"/>
      <w:spacing w:before="0" w:after="0" w:line="240" w:lineRule="auto"/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jc w:val="left"/>
      <w:ind w:firstLine="0"/>
      <w:spacing w:before="0" w:after="0" w:line="240" w:lineRule="aut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jc w:val="left"/>
      <w:ind w:firstLine="0"/>
      <w:spacing w:before="0" w:after="0" w:line="240" w:lineRule="aut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jc w:val="left"/>
      <w:ind w:firstLine="0"/>
      <w:spacing w:before="0" w:after="0" w:line="240" w:lineRule="aut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nsid w:val="BEB97544"/>
    <w:lvl w:ilvl="0">
      <w:start w:val="1"/>
      <w:numFmt w:val="bullet"/>
      <w:suff w:val="tab"/>
      <w:lvlText w:val="●"/>
      <w:lvlJc w:val="left"/>
      <w:pPr>
        <w:tabs>
          <w:tab w:val="num" w:pos="450"/>
        </w:tabs>
        <w:ind w:left="450" w:hanging="450"/>
      </w:pPr>
      <w:rPr>
        <w:rFonts/>
      </w:rPr>
    </w:lvl>
    <w:lvl w:ilvl="1">
      <w:start w:val="1"/>
      <w:numFmt w:val="bullet"/>
      <w:suff w:val="tab"/>
      <w:lvlText w:val="●"/>
      <w:lvlJc w:val="left"/>
      <w:pPr>
        <w:tabs>
          <w:tab w:val="num" w:pos="900"/>
        </w:tabs>
        <w:ind w:left="900" w:hanging="450"/>
      </w:pPr>
      <w:rPr>
        <w:rFonts/>
      </w:rPr>
    </w:lvl>
    <w:lvl w:ilvl="2">
      <w:start w:val="1"/>
      <w:numFmt w:val="bullet"/>
      <w:suff w:val="tab"/>
      <w:lvlText w:val="●"/>
      <w:lvlJc w:val="left"/>
      <w:pPr>
        <w:tabs>
          <w:tab w:val="num" w:pos="1350"/>
        </w:tabs>
        <w:ind w:left="1350" w:hanging="450"/>
      </w:pPr>
      <w:rPr>
        <w:rFonts/>
      </w:rPr>
    </w:lvl>
    <w:lvl w:ilvl="3">
      <w:start w:val="1"/>
      <w:numFmt w:val="bullet"/>
      <w:suff w:val="tab"/>
      <w:lvlText w:val="●"/>
      <w:lvlJc w:val="left"/>
      <w:pPr>
        <w:tabs>
          <w:tab w:val="num" w:pos="1800"/>
        </w:tabs>
        <w:ind w:left="1800" w:hanging="450"/>
      </w:pPr>
      <w:rPr>
        <w:rFonts/>
      </w:rPr>
    </w:lvl>
    <w:lvl w:ilvl="4">
      <w:start w:val="1"/>
      <w:numFmt w:val="bullet"/>
      <w:suff w:val="tab"/>
      <w:lvlText w:val="●"/>
      <w:lvlJc w:val="left"/>
      <w:pPr>
        <w:tabs>
          <w:tab w:val="num" w:pos="2250"/>
        </w:tabs>
        <w:ind w:left="2250" w:hanging="450"/>
      </w:pPr>
      <w:rPr>
        <w:rFonts/>
      </w:rPr>
    </w:lvl>
    <w:lvl w:ilvl="5">
      <w:start w:val="1"/>
      <w:numFmt w:val="bullet"/>
      <w:suff w:val="tab"/>
      <w:lvlText w:val="●"/>
      <w:lvlJc w:val="left"/>
      <w:pPr>
        <w:tabs>
          <w:tab w:val="num" w:pos="2700"/>
        </w:tabs>
        <w:ind w:left="2700" w:hanging="450"/>
      </w:pPr>
      <w:rPr>
        <w:rFonts/>
      </w:rPr>
    </w:lvl>
    <w:lvl w:ilvl="6">
      <w:start w:val="1"/>
      <w:numFmt w:val="bullet"/>
      <w:suff w:val="tab"/>
      <w:lvlText w:val="●"/>
      <w:lvlJc w:val="left"/>
      <w:pPr>
        <w:tabs>
          <w:tab w:val="num" w:pos="3150"/>
        </w:tabs>
        <w:ind w:left="3150" w:hanging="450"/>
      </w:pPr>
      <w:rPr>
        <w:rFonts/>
      </w:rPr>
    </w:lvl>
    <w:lvl w:ilvl="7">
      <w:start w:val="1"/>
      <w:numFmt w:val="bullet"/>
      <w:suff w:val="tab"/>
      <w:lvlText w:val="●"/>
      <w:lvlJc w:val="left"/>
      <w:pPr>
        <w:tabs>
          <w:tab w:val="num" w:pos="3600"/>
        </w:tabs>
        <w:ind w:left="3600" w:hanging="450"/>
      </w:pPr>
      <w:rPr>
        <w:rFonts/>
      </w:rPr>
    </w:lvl>
    <w:lvl w:ilvl="8">
      <w:start w:val="1"/>
      <w:numFmt w:val="bullet"/>
      <w:suff w:val="tab"/>
      <w:lvlText w:val="●"/>
      <w:lvlJc w:val="left"/>
      <w:pPr>
        <w:tabs>
          <w:tab w:val="num" w:pos="4050"/>
        </w:tabs>
        <w:ind w:left="4050" w:hanging="450"/>
      </w:pPr>
      <w:rPr>
        <w:rFonts/>
      </w:rPr>
    </w:lvl>
  </w:abstractNum>
  <w:num w:numId="8">
    <w:abstractNumId w:val="8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zoom w:percent="100"/>
  <w:defaultTabStop w:val="708"/>
  <w:hyphenationZone w:val="425"/>
  <w:characterSpacingControl w:val="doNotCompress"/>
  <w:themeFontLang w:val="en-U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sz w:val="22"/>
        <w:szCs w:val="22"/>
      </w:rPr>
    </w:rPrDefault>
  </w:docDefaults>
  <w:style w:type="paragraph" w:default="1" w:styleId="Normal">
    <w:name w:val="Normal"/>
    <w:pPr>
      <w:jc w:val="left"/>
      <w:ind w:firstLine="0"/>
      <w:spacing w:before="0" w:after="0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styleId="Heading1">
    <w:link w:val="Heading1Char"/>
    <w:name w:val="heading 1"/>
    <w:basedOn w:val="Normal"/>
    <w:pPr>
      <w:outlineLvl w:val="0"/>
      <w:jc w:val="left"/>
      <w:ind w:firstLine="0"/>
      <w:spacing w:before="0" w:after="0" w:line="240" w:lineRule="auto"/>
    </w:pPr>
    <w:rPr>
      <w:rFonts w:ascii="Liberation Serif" w:hAnsi="Liberation Serif" w:eastAsia="Liberation Serif" w:cs="Liberation Serif"/>
      <w:sz w:val="20"/>
      <w:szCs w:val="20"/>
    </w:rPr>
  </w:style>
  <w:style w:type="paragraph" w:styleId="Heading2">
    <w:link w:val="Heading2Char"/>
    <w:name w:val="heading 2"/>
    <w:basedOn w:val="Normal"/>
    <w:pPr>
      <w:outlineLvl w:val="1"/>
      <w:jc w:val="left"/>
      <w:ind w:firstLine="0"/>
      <w:spacing w:before="0" w:after="0" w:line="240" w:lineRule="auto"/>
    </w:pPr>
    <w:rPr>
      <w:rFonts w:ascii="Liberation Serif" w:hAnsi="Liberation Serif" w:eastAsia="Liberation Serif" w:cs="Liberation Serif"/>
      <w:sz w:val="20"/>
      <w:szCs w:val="20"/>
    </w:rPr>
  </w:style>
  <w:style w:type="paragraph" w:styleId="Heading3">
    <w:link w:val="Heading3Char"/>
    <w:name w:val="heading 3"/>
    <w:basedOn w:val="Normal"/>
    <w:pPr>
      <w:outlineLvl w:val="2"/>
      <w:jc w:val="left"/>
      <w:ind w:firstLine="0"/>
      <w:spacing w:before="0" w:after="0" w:line="240" w:lineRule="auto"/>
    </w:pPr>
    <w:rPr>
      <w:rFonts w:ascii="Liberation Serif" w:hAnsi="Liberation Serif" w:eastAsia="Liberation Serif" w:cs="Liberation Serif"/>
      <w:sz w:val="20"/>
      <w:szCs w:val="20"/>
    </w:rPr>
  </w:style>
  <w:style w:type="paragraph" w:styleId="Heading4">
    <w:link w:val="Heading4Char"/>
    <w:name w:val="heading 4"/>
    <w:basedOn w:val="Normal"/>
    <w:pPr>
      <w:outlineLvl w:val="3"/>
      <w:jc w:val="left"/>
      <w:ind w:firstLine="0"/>
      <w:spacing w:before="0" w:after="0" w:line="240" w:lineRule="auto"/>
    </w:pPr>
    <w:rPr>
      <w:rFonts w:ascii="Liberation Serif" w:hAnsi="Liberation Serif" w:eastAsia="Liberation Serif" w:cs="Liberation Serif"/>
      <w:sz w:val="20"/>
      <w:szCs w:val="20"/>
    </w:rPr>
  </w:style>
  <w:style w:type="paragraph" w:styleId="Heading5">
    <w:link w:val="Heading5Char"/>
    <w:name w:val="heading 5"/>
    <w:basedOn w:val="Normal"/>
    <w:pPr>
      <w:outlineLvl w:val="4"/>
      <w:jc w:val="left"/>
      <w:ind w:firstLine="0"/>
      <w:spacing w:before="0" w:after="0" w:line="240" w:lineRule="auto"/>
    </w:pPr>
    <w:rPr>
      <w:rFonts w:ascii="Liberation Serif" w:hAnsi="Liberation Serif" w:eastAsia="Liberation Serif" w:cs="Liberation Serif"/>
      <w:sz w:val="20"/>
      <w:szCs w:val="20"/>
    </w:rPr>
  </w:style>
  <w:style w:type="paragraph" w:styleId="Heading6">
    <w:link w:val="Heading6Char"/>
    <w:name w:val="heading 6"/>
    <w:basedOn w:val="Normal"/>
    <w:pPr>
      <w:outlineLvl w:val="5"/>
      <w:jc w:val="left"/>
      <w:ind w:firstLine="0"/>
      <w:spacing w:before="0" w:after="0" w:line="240" w:lineRule="auto"/>
    </w:pPr>
    <w:rPr>
      <w:rFonts w:ascii="Liberation Serif" w:hAnsi="Liberation Serif" w:eastAsia="Liberation Serif" w:cs="Liberation Serif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comments" Target="comments.xml"/><Relationship Id="rId8" Type="http://schemas.microsoft.com/office/2011/relationships/commentsExtended" Target="commentsExtended.xml"/><Relationship Id="rId9" Type="http://schemas.microsoft.com/office/2011/relationships/people" Target="people.xml"/><Relationship Id="rId10" Type="http://schemas.openxmlformats.org/officeDocument/2006/relationships/image" Target="media/1.png"/><Relationship Id="rId11" Type="http://schemas.openxmlformats.org/officeDocument/2006/relationships/image" Target="media/2.png"/><Relationship Id="rId12" Type="http://schemas.openxmlformats.org/officeDocument/2006/relationships/image" Target="media/3.png"/><Relationship Id="rId13" Type="http://schemas.openxmlformats.org/officeDocument/2006/relationships/image" Target="media/4.png"/><Relationship Id="rId14" Type="http://schemas.openxmlformats.org/officeDocument/2006/relationships/image" Target="media/5.png"/><Relationship Id="rId15" Type="http://schemas.openxmlformats.org/officeDocument/2006/relationships/image" Target="media/6.png"/><Relationship Id="rId16" Type="http://schemas.openxmlformats.org/officeDocument/2006/relationships/image" Target="media/7.png"/><Relationship Id="rId17" Type="http://schemas.openxmlformats.org/officeDocument/2006/relationships/image" Target="media/8.png"/><Relationship Id="rId18" Type="http://schemas.openxmlformats.org/officeDocument/2006/relationships/image" Target="media/9.png"/><Relationship Id="rId19" Type="http://schemas.openxmlformats.org/officeDocument/2006/relationships/image" Target="media/10.png"/><Relationship Id="rId20" Type="http://schemas.openxmlformats.org/officeDocument/2006/relationships/image" Target="media/11.png"/><Relationship Id="rId21" Type="http://schemas.openxmlformats.org/officeDocument/2006/relationships/image" Target="media/12.png"/><Relationship Id="rId22" Type="http://schemas.openxmlformats.org/officeDocument/2006/relationships/image" Target="media/13.png"/><Relationship Id="rId23" Type="http://schemas.openxmlformats.org/officeDocument/2006/relationships/image" Target="media/14.png"/><Relationship Id="rId24" Type="http://schemas.openxmlformats.org/officeDocument/2006/relationships/image" Target="media/15.png"/><Relationship Id="rId25" Type="http://schemas.openxmlformats.org/officeDocument/2006/relationships/header" Target="header1.xml"/><Relationship Id="rId26" Type="http://schemas.openxmlformats.org/officeDocument/2006/relationships/header" Target="header2.xml"/><Relationship Id="rId27" Type="http://schemas.openxmlformats.org/officeDocument/2006/relationships/header" Target="header3.xml"/><Relationship Id="rId28" Type="http://schemas.openxmlformats.org/officeDocument/2006/relationships/footer" Target="footer1.xml"/><Relationship Id="rId29" Type="http://schemas.openxmlformats.org/officeDocument/2006/relationships/footer" Target="footer2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2024-04-11T06:20:00+00:00</dcterms:created>
  <dcterms:modified xsi:type="dcterms:W3CDTF">2024-04-11T06:20:00+00:00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