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Rachel Lau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Washington, Michael G. Foster School of Business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Seattle, WA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B.A. Business Administration, Finance &amp; Information Systems | Minor in Data Science | FMVA Certified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June 2025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Nutinico Inc.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Seattle, WA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Delivered leadership-ready variance analysis and reporting packages across a $15M+ multi-entity real estate and operating portfolio by owning end-to-end FP&amp;A reporting on a weekly and monthly cadence.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Translated plan-vs-actual and prior-period movement into clear narratives for leadership across 10+ business units by building and maintaining standardized variance bridges and KPI dashboards in Excel and Power BI.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Cut manual reporting time 30% and eliminated close errors across 10+ entities by automating 17 recurring financial reports using SQL and Excel.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Sustained data accuracy across monthly close, accruals, and variance reporting on a $15M+ portfolio by extracting and cross-validating financial data from QuickBooks and internal databases using SQL.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 Extern,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May 2026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Attronica Computers, Inc. (via Extern Inc.)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Remote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Ensured accuracy of reported working capital figures by computing 4 core working capital metrics from source data and correcting a mismatch between course benchmarks and actual workbook values.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WBR Style Inbound Logistics Variance Dashboard</w:t>
      </w:r>
      <w:r>
        <w:rPr>
          <w:rFonts w:ascii="Calibri" w:cs="Calibri" w:eastAsia="Calibri" w:hAnsi="Calibri"/>
          <w:sz w:val="20"/>
          <w:szCs w:val="20"/>
        </w:rPr>
        <w:t xml:space="preserve">  |  lauchel.github.io/financial analyst portfolio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Quantified upside and downside cost impact to support a forward-looking leadership narrative by modeling scenario toggles for volume and cost assumptions.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Financial Analysis: Budgeting, Forecasting, Variance Analysis, KPI Reporting, Weekly Business Review Reporting, Scenario Modeling, Process Automation, Accounts Receivable, Accounts Payable</w:t>
      </w:r>
    </w:p>
    <w:p>
      <w:r>
        <w:rPr>
          <w:rFonts w:ascii="Calibri" w:cs="Calibri" w:eastAsia="Calibri" w:hAnsi="Calibri"/>
          <w:sz w:val="22"/>
          <w:szCs w:val="22"/>
        </w:rPr>
        <w:t xml:space="preserve">Tools: Excel (PivotTables, XLOOKUP, VBA, Financial Models), SQL, Power BI, Power Query, Tableau, Python, QuickBooks, BigQuery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2026-08-21T20:15:09.832Z</dcterms:created>
  <dcterms:modified xsi:type="dcterms:W3CDTF">2026-08-21T20:15:09.832Z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