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Rachel Lau</w:t>
      </w:r>
    </w:p>
    <w:p>
      <w:pPr>
        <w:spacing w:after="240"/>
      </w:pPr>
      <w:r>
        <w:rPr>
          <w:rFonts w:ascii="Calibri" w:cs="Calibri" w:eastAsia="Calibri" w:hAnsi="Calibri"/>
          <w:sz w:val="18"/>
          <w:szCs w:val="18"/>
        </w:rPr>
        <w:t xml:space="preserve">laurachel2003@gmail.com | (425) 324 6409 | linkedin.com/in/rachel lauuu | lauchel.github.io/financial analyst portfolio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August 21, 2026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Manager,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writing to apply for the Corporate Financial Analyst role recruited by Stalwart Insurance Brokers on behalf of Eagle Crest Washington LLC. My background combines FP&amp;A financial modeling and standardized reporting (Nutinico Inc.) with equity research and financial statement analysis experience (Luk Fook Financial Services), including benchmarking a company against an industry peer using its FY2025 10-K filing.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I'd welcome the opportunity to discuss how that modeling and research background could support your corporate finance team's work with high-complexity client situations.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sz w:val="22"/>
          <w:szCs w:val="22"/>
        </w:rPr>
        <w:t xml:space="preserve">Rachel Lau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2026-08-21T20:15:09.854Z</dcterms:created>
  <dcterms:modified xsi:type="dcterms:W3CDTF">2026-08-21T20:15:09.854Z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