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aps/>
          <w:color w:val="1E6FD4"/>
          <w:sz w:val="20"/>
          <w:szCs w:val="20"/>
        </w:rPr>
        <w:t xml:space="preserve">RESEARCH PAPER</w:t>
      </w:r>
    </w:p>
    <w:p>
      <w:pPr>
        <w:spacing w:after="200" w:before="0"/>
        <w:jc w:val="center"/>
      </w:pPr>
      <w:r>
        <w:rPr>
          <w:rFonts w:ascii="Arial" w:cs="Arial" w:eastAsia="Arial" w:hAnsi="Arial"/>
          <w:b/>
          <w:bCs/>
          <w:color w:val="1A2332"/>
          <w:sz w:val="52"/>
          <w:szCs w:val="52"/>
        </w:rPr>
        <w:br/>
        <w:t xml:space="preserve">Breaking the Post-Quantum Cryptography
Blockchain Migration Trilemma</w:t>
      </w:r>
    </w:p>
    <w:p>
      <w:pPr>
        <w:spacing w:after="400" w:before="80"/>
        <w:jc w:val="center"/>
      </w:pPr>
      <w:r>
        <w:rPr>
          <w:rFonts w:ascii="Arial" w:cs="Arial" w:eastAsia="Arial" w:hAnsi="Arial"/>
          <w:i/>
          <w:iCs/>
          <w:color w:val="444444"/>
          <w:sz w:val="24"/>
          <w:szCs w:val="24"/>
        </w:rPr>
        <w:t xml:space="preserve">The Adaptive Quantum Migration Protocol (AQMP): A Temporal Decoupling Framework
for Simultaneous Quantum Security, Performance, and Compatibility in Blockchain Systems</w:t>
      </w:r>
    </w:p>
    <w:p>
      <w:pPr>
        <w:spacing w:after="80" w:before="80"/>
        <w:jc w:val="center"/>
      </w:pPr>
      <w:r>
        <w:rPr>
          <w:rFonts w:ascii="Arial" w:cs="Arial" w:eastAsia="Arial" w:hAnsi="Arial"/>
          <w:b/>
          <w:bCs/>
          <w:color w:val="1A2332"/>
          <w:sz w:val="22"/>
          <w:szCs w:val="22"/>
        </w:rPr>
        <w:t xml:space="preserve">Abstract</w:t>
      </w:r>
    </w:p>
    <w:p>
      <w:pPr>
        <w:spacing w:after="80" w:before="80"/>
        <w:ind w:left="720" w:right="720"/>
        <w:jc w:val="both"/>
      </w:pPr>
      <w:r>
        <w:rPr>
          <w:rFonts w:ascii="Arial" w:cs="Arial" w:eastAsia="Arial" w:hAnsi="Arial"/>
          <w:i/>
          <w:iCs/>
          <w:sz w:val="22"/>
          <w:szCs w:val="22"/>
        </w:rPr>
        <w:t xml:space="preserve">The imminent threat of Cryptographically Relevant Quantum Computers (CRQCs) to blockchain infrastructure presents a fundamental engineering challenge we term the PQC Blockchain Migration Trilemma: existing migration approaches cannot simultaneously achieve quantum security, performance parity, and backward compatibility with deployed infrastructure. This paper formally characterizes this trilemma, proves its existence through incompatibility analysis of current PQC standards (CRYSTALS-Dilithium, FALCON, SPHINCS+), and proposes the Adaptive Quantum Migration Protocol (AQMP) — a novel framework employing temporal decoupling, ZK-aggregated PQC proofs, Dual-Commit Layers, and decentralized Quantum Threat Oracles to resolve all three dimensions concurrently. Simulation results demonstrate AQMP achieves 93% Security Score, 87% Performance Score, and 91% Compatibility Score — the first proposal to break the trilemma. We analyze deployment pathways for Bitcoin, Ethereum, and permissioned blockchains with estimated migration timelines of 24-48 months with zero downtime.</w:t>
      </w:r>
    </w:p>
    <w:p>
      <w:pPr>
        <w:spacing w:after="80" w:before="160"/>
        <w:jc w:val="center"/>
      </w:pPr>
      <w:r>
        <w:rPr>
          <w:rFonts w:ascii="Arial" w:cs="Arial" w:eastAsia="Arial" w:hAnsi="Arial"/>
          <w:b/>
          <w:bCs/>
          <w:sz w:val="20"/>
          <w:szCs w:val="20"/>
        </w:rPr>
        <w:t xml:space="preserve">Keywords: </w:t>
      </w:r>
      <w:r>
        <w:rPr>
          <w:rFonts w:ascii="Arial" w:cs="Arial" w:eastAsia="Arial" w:hAnsi="Arial"/>
          <w:i/>
          <w:iCs/>
          <w:sz w:val="20"/>
          <w:szCs w:val="20"/>
        </w:rPr>
        <w:t xml:space="preserve">Post-Quantum Cryptography, Blockchain Migration, CRYSTALS-Dilithium, FALCON, Zero-Knowledge Proofs, Quantum Security, Hybrid Cryptography, AQMP</w:t>
      </w:r>
    </w:p>
    <w:p>
      <w:pPr>
        <w:pBdr>
          <w:bottom w:val="single" w:color="1E6FD4" w:sz="6" w:space="1"/>
        </w:pBdr>
        <w:spacing w:after="120" w:before="120"/>
      </w:pPr>
    </w:p>
    <w:p>
      <w:pPr>
        <w:pStyle w:val="Heading1"/>
        <w:spacing w:after="160" w:before="400"/>
      </w:pPr>
      <w:r>
        <w:rPr>
          <w:rFonts w:ascii="Arial" w:cs="Arial" w:eastAsia="Arial" w:hAnsi="Arial"/>
          <w:b/>
          <w:bCs/>
          <w:color w:val="1A2332"/>
          <w:sz w:val="32"/>
          <w:szCs w:val="32"/>
        </w:rPr>
        <w:t xml:space="preserve">Table of Contents</w:t>
      </w:r>
    </w:p>
    <w:sdt>
      <w:sdtPr>
        <w:alias w:val="Table of Contents"/>
      </w:sdtPr>
      <w:sdtContent>
        <w:p>
          <w:r>
            <w:fldChar w:fldCharType="begin" w:dirty="true"/>
            <w:instrText xml:space="preserve">TOC \h \o "1-3" \t "undefined,1,undefined,2,undefined,3"</w:instrText>
            <w:fldChar w:fldCharType="separate"/>
          </w:r>
        </w:p>
        <w:p>
          <w:r>
            <w:fldChar w:fldCharType="end"/>
          </w:r>
        </w:p>
      </w:sdtContent>
    </w:sdt>
    <w:p>
      <w:pPr>
        <w:pBdr>
          <w:bottom w:val="single" w:color="1E6FD4" w:sz="6" w:space="1"/>
        </w:pBdr>
        <w:spacing w:after="120" w:before="120"/>
      </w:pPr>
    </w:p>
    <w:p>
      <w:pPr>
        <w:pStyle w:val="Heading1"/>
        <w:spacing w:after="160" w:before="400"/>
      </w:pPr>
      <w:r>
        <w:rPr>
          <w:rFonts w:ascii="Arial" w:cs="Arial" w:eastAsia="Arial" w:hAnsi="Arial"/>
          <w:b/>
          <w:bCs/>
          <w:color w:val="1A2332"/>
          <w:sz w:val="32"/>
          <w:szCs w:val="32"/>
        </w:rPr>
        <w:t xml:space="preserve">1. Introduction</w:t>
      </w:r>
    </w:p>
    <w:p>
      <w:pPr>
        <w:spacing w:after="80" w:before="80"/>
        <w:jc w:val="both"/>
      </w:pPr>
      <w:r>
        <w:rPr>
          <w:rFonts w:ascii="Arial" w:cs="Arial" w:eastAsia="Arial" w:hAnsi="Arial"/>
          <w:sz w:val="22"/>
          <w:szCs w:val="22"/>
        </w:rPr>
        <w:t xml:space="preserve">The advent of quantum computing represents an existential cryptographic threat to all blockchain systems currently deployed at scale. Blockchain networks — including Bitcoin ($600B+ market cap), Ethereum, and thousands of enterprise deployments — rely on Elliptic Curve Digital Signature Algorithm (ECDSA) and RSA for transaction authentication, wallet security, and consensus mechanisms. These algorithms derive their security from the computational hardness of the Elliptic Curve Discrete Logarithm Problem (ECDLP) and integer factorization — both of which Shor's algorithm solves in polynomial time on a sufficiently powerful quantum computer.</w:t>
      </w:r>
    </w:p>
    <w:p>
      <w:pPr>
        <w:spacing w:after="80" w:before="80"/>
        <w:jc w:val="both"/>
      </w:pPr>
      <w:r>
        <w:rPr>
          <w:rFonts w:ascii="Arial" w:cs="Arial" w:eastAsia="Arial" w:hAnsi="Arial"/>
          <w:sz w:val="22"/>
          <w:szCs w:val="22"/>
        </w:rPr>
        <w:t xml:space="preserve">While current quantum computers lack the qubit coherence and error correction necessary to break ECDSA-256 (requiring approximately 2,330 noisy qubits or 317 logical qubits), the consensus among cryptographers and intelligence agencies — including NIST, NSA, ETSI, and ENISA — is that Cryptographically Relevant Quantum Computers (CRQCs) will emerge between 2028 and 2040. The NSA has already mandated transition plans for all US federal systems.</w:t>
      </w:r>
    </w:p>
    <w:p>
      <w:pPr>
        <w:pBdr>
          <w:left w:val="thick" w:color="C0392B" w:sz="12" w:space="1"/>
        </w:pBdr>
        <w:shd w:fill="FFF5F5" w:val="clear"/>
        <w:spacing w:after="120" w:before="120"/>
        <w:ind w:left="360" w:right="360"/>
      </w:pPr>
      <w:r>
        <w:rPr>
          <w:rFonts w:ascii="Arial" w:cs="Arial" w:eastAsia="Arial" w:hAnsi="Arial"/>
          <w:i/>
          <w:iCs/>
          <w:color w:val="1A2332"/>
          <w:sz w:val="21"/>
          <w:szCs w:val="21"/>
        </w:rPr>
        <w:t xml:space="preserve">The 'Harvest Now, Decrypt Later' (HNDL) attack means that blockchain transactions being signed today are being archived by adversaries for decryption when CRQCs become available. The migration problem is already active, not theoretical.</w:t>
      </w:r>
    </w:p>
    <w:p>
      <w:pPr>
        <w:spacing w:after="80" w:before="80"/>
        <w:jc w:val="both"/>
      </w:pPr>
      <w:r>
        <w:rPr>
          <w:rFonts w:ascii="Arial" w:cs="Arial" w:eastAsia="Arial" w:hAnsi="Arial"/>
          <w:sz w:val="22"/>
          <w:szCs w:val="22"/>
        </w:rPr>
        <w:t xml:space="preserve">The National Institute of Standards and Technology (NIST) finalized four Post-Quantum Cryptography (PQC) standards in 2024: CRYSTALS-Kyber (key encapsulation), CRYSTALS-Dilithium, FALCON, and SPHINCS+ (digital signatures). However, deploying these standards in blockchain environments introduces what we identify as a three-dimensional incompatibility we formalize as the PQC Blockchain Migration Trilemma.</w:t>
      </w:r>
    </w:p>
    <w:p>
      <w:pPr>
        <w:pStyle w:val="Heading2"/>
        <w:spacing w:after="120" w:before="280"/>
      </w:pPr>
      <w:r>
        <w:rPr>
          <w:rFonts w:ascii="Arial" w:cs="Arial" w:eastAsia="Arial" w:hAnsi="Arial"/>
          <w:b/>
          <w:bCs/>
          <w:color w:val="1E6FD4"/>
          <w:sz w:val="26"/>
          <w:szCs w:val="26"/>
        </w:rPr>
        <w:t xml:space="preserve">1.1 Motivation and Problem Statement</w:t>
      </w:r>
    </w:p>
    <w:p>
      <w:pPr>
        <w:spacing w:after="80" w:before="80"/>
        <w:jc w:val="both"/>
      </w:pPr>
      <w:r>
        <w:rPr>
          <w:rFonts w:ascii="Arial" w:cs="Arial" w:eastAsia="Arial" w:hAnsi="Arial"/>
          <w:sz w:val="22"/>
          <w:szCs w:val="22"/>
        </w:rPr>
        <w:t xml:space="preserve">Existing approaches to blockchain PQC migration fall into three categories, each sacrificing one critical dimension:</w:t>
      </w:r>
    </w:p>
    <w:p>
      <w:pPr>
        <w:pStyle w:val="ListParagraph"/>
        <w:numPr>
          <w:ilvl w:val="0"/>
          <w:numId w:val="2"/>
        </w:numPr>
        <w:spacing w:after="40" w:before="40"/>
      </w:pPr>
      <w:r>
        <w:rPr>
          <w:rFonts w:ascii="Arial" w:cs="Arial" w:eastAsia="Arial" w:hAnsi="Arial"/>
          <w:sz w:val="22"/>
          <w:szCs w:val="22"/>
        </w:rPr>
        <w:t xml:space="preserve">Hard Fork Migration: Replaces ECDSA with PQC in a single protocol change. Achieves full quantum security and reasonable performance but requires simultaneous network-wide upgrade — breaking backward compatibility for all legacy wallets, DApps, and infrastructure.</w:t>
      </w:r>
    </w:p>
    <w:p>
      <w:pPr>
        <w:pStyle w:val="ListParagraph"/>
        <w:numPr>
          <w:ilvl w:val="0"/>
          <w:numId w:val="2"/>
        </w:numPr>
        <w:spacing w:after="40" w:before="40"/>
      </w:pPr>
      <w:r>
        <w:rPr>
          <w:rFonts w:ascii="Arial" w:cs="Arial" w:eastAsia="Arial" w:hAnsi="Arial"/>
          <w:sz w:val="22"/>
          <w:szCs w:val="22"/>
        </w:rPr>
        <w:t xml:space="preserve">Soft Fork Hybrid Signatures: Embeds PQC alongside classical signatures, maintaining old node compatibility. Severely impacts block size (10-40x increase), network throughput, and storage — a performance catastrophe at scale.</w:t>
      </w:r>
    </w:p>
    <w:p>
      <w:pPr>
        <w:pStyle w:val="ListParagraph"/>
        <w:numPr>
          <w:ilvl w:val="0"/>
          <w:numId w:val="2"/>
        </w:numPr>
        <w:spacing w:after="40" w:before="40"/>
      </w:pPr>
      <w:r>
        <w:rPr>
          <w:rFonts w:ascii="Arial" w:cs="Arial" w:eastAsia="Arial" w:hAnsi="Arial"/>
          <w:sz w:val="22"/>
          <w:szCs w:val="22"/>
        </w:rPr>
        <w:t xml:space="preserve">Layered Address Migration: Introduces new PQC address types with migration mechanisms. Achieves compatibility and acceptable performance but provides no quantum security for existing UTXOs during the migration window — the most vulnerable period.</w:t>
      </w:r>
    </w:p>
    <w:p>
      <w:pPr>
        <w:spacing w:after="80" w:before="80"/>
        <w:jc w:val="both"/>
      </w:pPr>
      <w:r>
        <w:rPr>
          <w:rFonts w:ascii="Arial" w:cs="Arial" w:eastAsia="Arial" w:hAnsi="Arial"/>
          <w:sz w:val="22"/>
          <w:szCs w:val="22"/>
        </w:rPr>
        <w:t xml:space="preserve">None of these approaches satisfy all three requirements simultaneously. This paper proves this is not merely an implementation challenge but a fundamental structural trilemma, then presents AQMP as a mechanism for breaking it.</w:t>
      </w:r>
    </w:p>
    <w:p>
      <w:pPr>
        <w:pStyle w:val="Heading2"/>
        <w:spacing w:after="120" w:before="280"/>
      </w:pPr>
      <w:r>
        <w:rPr>
          <w:rFonts w:ascii="Arial" w:cs="Arial" w:eastAsia="Arial" w:hAnsi="Arial"/>
          <w:b/>
          <w:bCs/>
          <w:color w:val="1E6FD4"/>
          <w:sz w:val="26"/>
          <w:szCs w:val="26"/>
        </w:rPr>
        <w:t xml:space="preserve">1.2 Contributions</w:t>
      </w:r>
    </w:p>
    <w:p>
      <w:pPr>
        <w:pStyle w:val="ListParagraph"/>
        <w:numPr>
          <w:ilvl w:val="0"/>
          <w:numId w:val="3"/>
        </w:numPr>
        <w:spacing w:after="40" w:before="40"/>
      </w:pPr>
      <w:r>
        <w:rPr>
          <w:rFonts w:ascii="Arial" w:cs="Arial" w:eastAsia="Arial" w:hAnsi="Arial"/>
          <w:sz w:val="22"/>
          <w:szCs w:val="22"/>
        </w:rPr>
        <w:t xml:space="preserve">Formal characterization of the PQC Blockchain Migration Trilemma with rigorous incompatibility proofs for each vertex pair</w:t>
      </w:r>
    </w:p>
    <w:p>
      <w:pPr>
        <w:pStyle w:val="ListParagraph"/>
        <w:numPr>
          <w:ilvl w:val="0"/>
          <w:numId w:val="3"/>
        </w:numPr>
        <w:spacing w:after="40" w:before="40"/>
      </w:pPr>
      <w:r>
        <w:rPr>
          <w:rFonts w:ascii="Arial" w:cs="Arial" w:eastAsia="Arial" w:hAnsi="Arial"/>
          <w:sz w:val="22"/>
          <w:szCs w:val="22"/>
        </w:rPr>
        <w:t xml:space="preserve">Comprehensive benchmark analysis of all NIST-standardized PQC algorithms against blockchain transaction requirements</w:t>
      </w:r>
    </w:p>
    <w:p>
      <w:pPr>
        <w:pStyle w:val="ListParagraph"/>
        <w:numPr>
          <w:ilvl w:val="0"/>
          <w:numId w:val="3"/>
        </w:numPr>
        <w:spacing w:after="40" w:before="40"/>
      </w:pPr>
      <w:r>
        <w:rPr>
          <w:rFonts w:ascii="Arial" w:cs="Arial" w:eastAsia="Arial" w:hAnsi="Arial"/>
          <w:sz w:val="22"/>
          <w:szCs w:val="22"/>
        </w:rPr>
        <w:t xml:space="preserve">The Adaptive Quantum Migration Protocol (AQMP): a novel four-component framework achieving trilemma resolution</w:t>
      </w:r>
    </w:p>
    <w:p>
      <w:pPr>
        <w:pStyle w:val="ListParagraph"/>
        <w:numPr>
          <w:ilvl w:val="0"/>
          <w:numId w:val="3"/>
        </w:numPr>
        <w:spacing w:after="40" w:before="40"/>
      </w:pPr>
      <w:r>
        <w:rPr>
          <w:rFonts w:ascii="Arial" w:cs="Arial" w:eastAsia="Arial" w:hAnsi="Arial"/>
          <w:sz w:val="22"/>
          <w:szCs w:val="22"/>
        </w:rPr>
        <w:t xml:space="preserve">Quantitative simulation results comparing AQMP against existing migration strategies across Security, Performance, and Compatibility dimensions</w:t>
      </w:r>
    </w:p>
    <w:p>
      <w:pPr>
        <w:pStyle w:val="ListParagraph"/>
        <w:numPr>
          <w:ilvl w:val="0"/>
          <w:numId w:val="3"/>
        </w:numPr>
        <w:spacing w:after="40" w:before="40"/>
      </w:pPr>
      <w:r>
        <w:rPr>
          <w:rFonts w:ascii="Arial" w:cs="Arial" w:eastAsia="Arial" w:hAnsi="Arial"/>
          <w:sz w:val="22"/>
          <w:szCs w:val="22"/>
        </w:rPr>
        <w:t xml:space="preserve">Deployment roadmaps for Bitcoin, Ethereum, and enterprise blockchain networks</w:t>
      </w:r>
    </w:p>
    <w:p>
      <w:pPr>
        <w:pBdr>
          <w:bottom w:val="single" w:color="1E6FD4" w:sz="6" w:space="1"/>
        </w:pBdr>
        <w:spacing w:after="120" w:before="120"/>
      </w:pPr>
    </w:p>
    <w:p>
      <w:pPr>
        <w:pStyle w:val="Heading1"/>
        <w:spacing w:after="160" w:before="400"/>
      </w:pPr>
      <w:r>
        <w:rPr>
          <w:rFonts w:ascii="Arial" w:cs="Arial" w:eastAsia="Arial" w:hAnsi="Arial"/>
          <w:b/>
          <w:bCs/>
          <w:color w:val="1A2332"/>
          <w:sz w:val="32"/>
          <w:szCs w:val="32"/>
        </w:rPr>
        <w:t xml:space="preserve">2. Background and Related Work</w:t>
      </w:r>
    </w:p>
    <w:p>
      <w:pPr>
        <w:pStyle w:val="Heading2"/>
        <w:spacing w:after="120" w:before="280"/>
      </w:pPr>
      <w:r>
        <w:rPr>
          <w:rFonts w:ascii="Arial" w:cs="Arial" w:eastAsia="Arial" w:hAnsi="Arial"/>
          <w:b/>
          <w:bCs/>
          <w:color w:val="1E6FD4"/>
          <w:sz w:val="26"/>
          <w:szCs w:val="26"/>
        </w:rPr>
        <w:t xml:space="preserve">2.1 Blockchain Cryptographic Primitives</w:t>
      </w:r>
    </w:p>
    <w:p>
      <w:pPr>
        <w:spacing w:after="80" w:before="80"/>
        <w:jc w:val="both"/>
      </w:pPr>
      <w:r>
        <w:rPr>
          <w:rFonts w:ascii="Arial" w:cs="Arial" w:eastAsia="Arial" w:hAnsi="Arial"/>
          <w:sz w:val="22"/>
          <w:szCs w:val="22"/>
        </w:rPr>
        <w:t xml:space="preserve">Modern blockchain systems rely on three core cryptographic primitives, each vulnerable to quantum attack:</w:t>
      </w:r>
    </w:p>
    <w:p>
      <w:pPr>
        <w:pStyle w:val="Heading3"/>
        <w:spacing w:after="100" w:before="200"/>
      </w:pPr>
      <w:r>
        <w:rPr>
          <w:rFonts w:ascii="Arial" w:cs="Arial" w:eastAsia="Arial" w:hAnsi="Arial"/>
          <w:b/>
          <w:bCs/>
          <w:color w:val="2C3E50"/>
          <w:sz w:val="22"/>
          <w:szCs w:val="22"/>
        </w:rPr>
        <w:t xml:space="preserve">2.1.1 Digital Signatures (ECDSA/EdDSA)</w:t>
      </w:r>
    </w:p>
    <w:p>
      <w:pPr>
        <w:spacing w:after="80" w:before="80"/>
        <w:jc w:val="both"/>
      </w:pPr>
      <w:r>
        <w:rPr>
          <w:rFonts w:ascii="Arial" w:cs="Arial" w:eastAsia="Arial" w:hAnsi="Arial"/>
          <w:sz w:val="22"/>
          <w:szCs w:val="22"/>
        </w:rPr>
        <w:t xml:space="preserve">ECDSA provides transaction authentication and wallet ownership proofs. Bitcoin uses secp256k1, Ethereum uses secp256k1 for EOAs, and many systems use Ed25519 (Curve25519). Shor's algorithm can recover the private key from a known public key in O(log^3 N) quantum operations, where N is the group order. Public keys are exposed on the blockchain when transactions are broadcast, creating a time window for attack.</w:t>
      </w:r>
    </w:p>
    <w:p>
      <w:pPr>
        <w:pStyle w:val="Heading3"/>
        <w:spacing w:after="100" w:before="200"/>
      </w:pPr>
      <w:r>
        <w:rPr>
          <w:rFonts w:ascii="Arial" w:cs="Arial" w:eastAsia="Arial" w:hAnsi="Arial"/>
          <w:b/>
          <w:bCs/>
          <w:color w:val="2C3E50"/>
          <w:sz w:val="22"/>
          <w:szCs w:val="22"/>
        </w:rPr>
        <w:t xml:space="preserve">2.1.2 Hash Functions (SHA-256, Keccak-256)</w:t>
      </w:r>
    </w:p>
    <w:p>
      <w:pPr>
        <w:spacing w:after="80" w:before="80"/>
        <w:jc w:val="both"/>
      </w:pPr>
      <w:r>
        <w:rPr>
          <w:rFonts w:ascii="Arial" w:cs="Arial" w:eastAsia="Arial" w:hAnsi="Arial"/>
          <w:sz w:val="22"/>
          <w:szCs w:val="22"/>
        </w:rPr>
        <w:t xml:space="preserve">Used for block headers, Merkle trees, address derivation, and Proof-of-Work. Grover's algorithm provides a quadratic speedup for hash preimage search, effectively halving the security level (SHA-256 becomes ~128-bit quantum secure vs 256-bit classical). This does not break hash functions but requires doubling output lengths for equivalent security.</w:t>
      </w:r>
    </w:p>
    <w:p>
      <w:pPr>
        <w:pStyle w:val="Heading3"/>
        <w:spacing w:after="100" w:before="200"/>
      </w:pPr>
      <w:r>
        <w:rPr>
          <w:rFonts w:ascii="Arial" w:cs="Arial" w:eastAsia="Arial" w:hAnsi="Arial"/>
          <w:b/>
          <w:bCs/>
          <w:color w:val="2C3E50"/>
          <w:sz w:val="22"/>
          <w:szCs w:val="22"/>
        </w:rPr>
        <w:t xml:space="preserve">2.1.3 Zero-Knowledge Proofs</w:t>
      </w:r>
    </w:p>
    <w:p>
      <w:pPr>
        <w:spacing w:after="80" w:before="80"/>
        <w:jc w:val="both"/>
      </w:pPr>
      <w:r>
        <w:rPr>
          <w:rFonts w:ascii="Arial" w:cs="Arial" w:eastAsia="Arial" w:hAnsi="Arial"/>
          <w:sz w:val="22"/>
          <w:szCs w:val="22"/>
        </w:rPr>
        <w:t xml:space="preserve">Systems like Zcash (zk-SNARKs), StarkNet (STARKs), and zkEVM rely on mathematical constructions partially based on elliptic curve pairings (vulnerable) or hash functions (partially resistant). Full quantum resistance requires new ZK circuit constructions over lattice or hash-based primitives.</w:t>
      </w:r>
    </w:p>
    <w:p>
      <w:pPr>
        <w:pStyle w:val="Heading2"/>
        <w:spacing w:after="120" w:before="280"/>
      </w:pPr>
      <w:r>
        <w:rPr>
          <w:rFonts w:ascii="Arial" w:cs="Arial" w:eastAsia="Arial" w:hAnsi="Arial"/>
          <w:b/>
          <w:bCs/>
          <w:color w:val="1E6FD4"/>
          <w:sz w:val="26"/>
          <w:szCs w:val="26"/>
        </w:rPr>
        <w:t xml:space="preserve">2.2 NIST Post-Quantum Cryptography Standards (2024)</w:t>
      </w:r>
    </w:p>
    <w:p>
      <w:pPr>
        <w:spacing w:after="80" w:before="80"/>
        <w:jc w:val="both"/>
      </w:pPr>
      <w:r>
        <w:rPr>
          <w:rFonts w:ascii="Arial" w:cs="Arial" w:eastAsia="Arial" w:hAnsi="Arial"/>
          <w:sz w:val="22"/>
          <w:szCs w:val="22"/>
        </w:rPr>
        <w:t xml:space="preserve">Following a 7-year standardization process, NIST finalized the following PQC standards in August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400"/>
        <w:gridCol w:w="1280"/>
        <w:gridCol w:w="1280"/>
        <w:gridCol w:w="1600"/>
      </w:tblGrid>
      <w:tr>
        <w:trPr>
          <w:tblHeader/>
        </w:trPr>
        <w:tc>
          <w:tcPr>
            <w:tcW w:type="dxa" w:w="220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Algorithm</w:t>
            </w:r>
          </w:p>
        </w:tc>
        <w:tc>
          <w:tcPr>
            <w:tcW w:type="dxa" w:w="160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W w:type="dxa" w:w="140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Pub Key (B)</w:t>
            </w:r>
          </w:p>
        </w:tc>
        <w:tc>
          <w:tcPr>
            <w:tcW w:type="dxa" w:w="128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Sig/CT (B)</w:t>
            </w:r>
          </w:p>
        </w:tc>
        <w:tc>
          <w:tcPr>
            <w:tcW w:type="dxa" w:w="128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NIST Level</w:t>
            </w:r>
          </w:p>
        </w:tc>
        <w:tc>
          <w:tcPr>
            <w:tcW w:type="dxa" w:w="160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Basis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CRYSTALS-Dilithium2</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Signature</w:t>
            </w:r>
          </w:p>
        </w:tc>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1312</w:t>
            </w:r>
          </w:p>
        </w:tc>
        <w:tc>
          <w:tcPr>
            <w:tcW w:type="dxa" w:w="12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2420</w:t>
            </w:r>
          </w:p>
        </w:tc>
        <w:tc>
          <w:tcPr>
            <w:tcW w:type="dxa" w:w="12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2</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Module-LWE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CRYSTALS-Dilithium3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Signature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1952</w:t>
            </w:r>
          </w:p>
        </w:tc>
        <w:tc>
          <w:tcPr>
            <w:tcW w:type="dxa" w:w="1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3293</w:t>
            </w:r>
          </w:p>
        </w:tc>
        <w:tc>
          <w:tcPr>
            <w:tcW w:type="dxa" w:w="1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Module-LWE</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CRYSTALS-Dilithium5</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Signature</w:t>
            </w:r>
          </w:p>
        </w:tc>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2592</w:t>
            </w:r>
          </w:p>
        </w:tc>
        <w:tc>
          <w:tcPr>
            <w:tcW w:type="dxa" w:w="12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4595</w:t>
            </w:r>
          </w:p>
        </w:tc>
        <w:tc>
          <w:tcPr>
            <w:tcW w:type="dxa" w:w="12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5</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Module-LWE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FALCON-512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Signature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897</w:t>
            </w:r>
          </w:p>
        </w:tc>
        <w:tc>
          <w:tcPr>
            <w:tcW w:type="dxa" w:w="1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666</w:t>
            </w:r>
          </w:p>
        </w:tc>
        <w:tc>
          <w:tcPr>
            <w:tcW w:type="dxa" w:w="1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NTRU Lattice</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FALCON-1024</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Signature</w:t>
            </w:r>
          </w:p>
        </w:tc>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1793</w:t>
            </w:r>
          </w:p>
        </w:tc>
        <w:tc>
          <w:tcPr>
            <w:tcW w:type="dxa" w:w="12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1280</w:t>
            </w:r>
          </w:p>
        </w:tc>
        <w:tc>
          <w:tcPr>
            <w:tcW w:type="dxa" w:w="12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5</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NTRU Lattice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SPHINCS+-128s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Signature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32</w:t>
            </w:r>
          </w:p>
        </w:tc>
        <w:tc>
          <w:tcPr>
            <w:tcW w:type="dxa" w:w="1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7856</w:t>
            </w:r>
          </w:p>
        </w:tc>
        <w:tc>
          <w:tcPr>
            <w:tcW w:type="dxa" w:w="1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Hash-based</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CRYSTALS-Kyber512</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KEM</w:t>
            </w:r>
          </w:p>
        </w:tc>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800</w:t>
            </w:r>
          </w:p>
        </w:tc>
        <w:tc>
          <w:tcPr>
            <w:tcW w:type="dxa" w:w="12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768 (CT)</w:t>
            </w:r>
          </w:p>
        </w:tc>
        <w:tc>
          <w:tcPr>
            <w:tcW w:type="dxa" w:w="12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1</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Module-LWE</w:t>
            </w:r>
          </w:p>
        </w:tc>
      </w:tr>
    </w:tbl>
    <w:p>
      <w:pPr>
        <w:spacing w:after="120" w:before="60"/>
        <w:jc w:val="center"/>
      </w:pPr>
      <w:r>
        <w:rPr>
          <w:rFonts w:ascii="Arial" w:cs="Arial" w:eastAsia="Arial" w:hAnsi="Arial"/>
          <w:i/>
          <w:iCs/>
          <w:color w:val="555555"/>
          <w:sz w:val="18"/>
          <w:szCs w:val="18"/>
        </w:rPr>
        <w:t xml:space="preserve">Table 1: NIST PQC Standard Algorithm Parameters (2024)</w:t>
      </w:r>
    </w:p>
    <w:p>
      <w:pPr>
        <w:spacing w:after="80" w:before="80"/>
        <w:jc w:val="both"/>
      </w:pPr>
      <w:r>
        <w:rPr>
          <w:rFonts w:ascii="Arial" w:cs="Arial" w:eastAsia="Arial" w:hAnsi="Arial"/>
          <w:sz w:val="22"/>
          <w:szCs w:val="22"/>
        </w:rPr>
        <w:t xml:space="preserve">For comparison, ECDSA-P256 produces 64-byte signatures with 64-byte public keys at ~0.065ms verification. PQC algorithms are 10-40x larger and 2-15x slower for signing, representing a significant performance challenge for high-throughput blockchains.</w:t>
      </w:r>
    </w:p>
    <w:p>
      <w:pPr>
        <w:pStyle w:val="Heading2"/>
        <w:spacing w:after="120" w:before="280"/>
      </w:pPr>
      <w:r>
        <w:rPr>
          <w:rFonts w:ascii="Arial" w:cs="Arial" w:eastAsia="Arial" w:hAnsi="Arial"/>
          <w:b/>
          <w:bCs/>
          <w:color w:val="1E6FD4"/>
          <w:sz w:val="26"/>
          <w:szCs w:val="26"/>
        </w:rPr>
        <w:t xml:space="preserve">2.3 The Original Blockchain Trilemma</w:t>
      </w:r>
    </w:p>
    <w:p>
      <w:pPr>
        <w:spacing w:after="80" w:before="80"/>
        <w:jc w:val="both"/>
      </w:pPr>
      <w:r>
        <w:rPr>
          <w:rFonts w:ascii="Arial" w:cs="Arial" w:eastAsia="Arial" w:hAnsi="Arial"/>
          <w:sz w:val="22"/>
          <w:szCs w:val="22"/>
        </w:rPr>
        <w:t xml:space="preserve">Vitalik Buterin's Blockchain Trilemma (2017) established that distributed ledger systems cannot simultaneously optimize Security, Scalability, and Decentralization — a constraint that shaped every Layer 1 and Layer 2 blockchain design since. Our work analogizes this structure: the PQC Migration Trilemma posits that migration approaches cannot simultaneously optimize Quantum Security, Performance, and Compatibility — but, unlike Buterin's formulation, we demonstrate this trilemma can be broken through protocol-level architectural innovation.</w:t>
      </w:r>
    </w:p>
    <w:p>
      <w:pPr>
        <w:pStyle w:val="Heading2"/>
        <w:spacing w:after="120" w:before="280"/>
      </w:pPr>
      <w:r>
        <w:rPr>
          <w:rFonts w:ascii="Arial" w:cs="Arial" w:eastAsia="Arial" w:hAnsi="Arial"/>
          <w:b/>
          <w:bCs/>
          <w:color w:val="1E6FD4"/>
          <w:sz w:val="26"/>
          <w:szCs w:val="26"/>
        </w:rPr>
        <w:t xml:space="preserve">2.4 Related Work</w:t>
      </w:r>
    </w:p>
    <w:p>
      <w:pPr>
        <w:spacing w:after="80" w:before="80"/>
        <w:jc w:val="both"/>
      </w:pPr>
      <w:r>
        <w:rPr>
          <w:rFonts w:ascii="Arial" w:cs="Arial" w:eastAsia="Arial" w:hAnsi="Arial"/>
          <w:sz w:val="22"/>
          <w:szCs w:val="22"/>
        </w:rPr>
        <w:t xml:space="preserve">Several prior works have addressed subsets of the PQC blockchain migration problem. Fernandez-Carames and Fraga-Lamas (2020) survey PQC for IoT blockchain but do not address migration trilemma structure. Campagna et al. (IETF RFC 8784, 2020) address hybrid key exchange but not blockchain-specific constraints. The NIST PQCRYPTO project benchmarks algorithms in isolation. Ethereum Research EIP-7484 proposes account abstraction for PQC wallets but addresses only compatibility. Prior to this work, no paper has formally characterized the three-way conflict as a trilemma or proposed a mechanism to resolve all three simultaneously.</w:t>
      </w:r>
    </w:p>
    <w:p>
      <w:pPr>
        <w:pBdr>
          <w:bottom w:val="single" w:color="1E6FD4" w:sz="6" w:space="1"/>
        </w:pBdr>
        <w:spacing w:after="120" w:before="120"/>
      </w:pPr>
    </w:p>
    <w:p>
      <w:pPr>
        <w:pStyle w:val="Heading1"/>
        <w:spacing w:after="160" w:before="400"/>
      </w:pPr>
      <w:r>
        <w:rPr>
          <w:rFonts w:ascii="Arial" w:cs="Arial" w:eastAsia="Arial" w:hAnsi="Arial"/>
          <w:b/>
          <w:bCs/>
          <w:color w:val="1A2332"/>
          <w:sz w:val="32"/>
          <w:szCs w:val="32"/>
        </w:rPr>
        <w:t xml:space="preserve">3. Formal Characterization of the PQC Migration Trilemma</w:t>
      </w:r>
    </w:p>
    <w:p>
      <w:pPr>
        <w:pStyle w:val="Heading2"/>
        <w:spacing w:after="120" w:before="280"/>
      </w:pPr>
      <w:r>
        <w:rPr>
          <w:rFonts w:ascii="Arial" w:cs="Arial" w:eastAsia="Arial" w:hAnsi="Arial"/>
          <w:b/>
          <w:bCs/>
          <w:color w:val="1E6FD4"/>
          <w:sz w:val="26"/>
          <w:szCs w:val="26"/>
        </w:rPr>
        <w:t xml:space="preserve">3.1 Definitions</w:t>
      </w:r>
    </w:p>
    <w:p>
      <w:pPr>
        <w:spacing w:after="80" w:before="80"/>
        <w:jc w:val="both"/>
      </w:pPr>
      <w:r>
        <w:rPr>
          <w:rFonts w:ascii="Arial" w:cs="Arial" w:eastAsia="Arial" w:hAnsi="Arial"/>
          <w:sz w:val="22"/>
          <w:szCs w:val="22"/>
        </w:rPr>
        <w:t xml:space="preserve">We define three migration properties formally:</w:t>
      </w:r>
    </w:p>
    <w:p>
      <w:pPr>
        <w:pStyle w:val="Heading3"/>
        <w:spacing w:after="100" w:before="200"/>
      </w:pPr>
      <w:r>
        <w:rPr>
          <w:rFonts w:ascii="Arial" w:cs="Arial" w:eastAsia="Arial" w:hAnsi="Arial"/>
          <w:b/>
          <w:bCs/>
          <w:color w:val="2C3E50"/>
          <w:sz w:val="22"/>
          <w:szCs w:val="22"/>
        </w:rPr>
        <w:t xml:space="preserve">Definition 1 (Quantum Security — QS)</w:t>
      </w:r>
    </w:p>
    <w:p>
      <w:pPr>
        <w:pBdr>
          <w:left w:val="thick" w:color="1E6FD4" w:sz="12" w:space="1"/>
        </w:pBdr>
        <w:shd w:fill="EBF4FF" w:val="clear"/>
        <w:spacing w:after="120" w:before="120"/>
        <w:ind w:left="360" w:right="360"/>
      </w:pPr>
      <w:r>
        <w:rPr>
          <w:rFonts w:ascii="Arial" w:cs="Arial" w:eastAsia="Arial" w:hAnsi="Arial"/>
          <w:i/>
          <w:iCs/>
          <w:color w:val="1A2332"/>
          <w:sz w:val="21"/>
          <w:szCs w:val="21"/>
        </w:rPr>
        <w:t xml:space="preserve">A blockchain migration achieves Quantum Security if all active signature schemes satisfy NIST PQC Level ≥ 2 (128-bit quantum security) for all transactions in the canonical chain, including legacy UTXOs, and if no classical cryptographic assumption is required for security proofs.</w:t>
      </w:r>
    </w:p>
    <w:p>
      <w:pPr>
        <w:pStyle w:val="Heading3"/>
        <w:spacing w:after="100" w:before="200"/>
      </w:pPr>
      <w:r>
        <w:rPr>
          <w:rFonts w:ascii="Arial" w:cs="Arial" w:eastAsia="Arial" w:hAnsi="Arial"/>
          <w:b/>
          <w:bCs/>
          <w:color w:val="2C3E50"/>
          <w:sz w:val="22"/>
          <w:szCs w:val="22"/>
        </w:rPr>
        <w:t xml:space="preserve">Definition 2 (Performance Parity — PP)</w:t>
      </w:r>
    </w:p>
    <w:p>
      <w:pPr>
        <w:pBdr>
          <w:left w:val="thick" w:color="1E6FD4" w:sz="12" w:space="1"/>
        </w:pBdr>
        <w:shd w:fill="EBF4FF" w:val="clear"/>
        <w:spacing w:after="120" w:before="120"/>
        <w:ind w:left="360" w:right="360"/>
      </w:pPr>
      <w:r>
        <w:rPr>
          <w:rFonts w:ascii="Arial" w:cs="Arial" w:eastAsia="Arial" w:hAnsi="Arial"/>
          <w:i/>
          <w:iCs/>
          <w:color w:val="1A2332"/>
          <w:sz w:val="21"/>
          <w:szCs w:val="21"/>
        </w:rPr>
        <w:t xml:space="preserve">A migration achieves Performance Parity if the post-migration system maintains: (a) total block size overhead ≤ 20% vs baseline; (b) average signature verification latency ≤ 2x baseline; and (c) network propagation time increase ≤ 15%.</w:t>
      </w:r>
    </w:p>
    <w:p>
      <w:pPr>
        <w:pStyle w:val="Heading3"/>
        <w:spacing w:after="100" w:before="200"/>
      </w:pPr>
      <w:r>
        <w:rPr>
          <w:rFonts w:ascii="Arial" w:cs="Arial" w:eastAsia="Arial" w:hAnsi="Arial"/>
          <w:b/>
          <w:bCs/>
          <w:color w:val="2C3E50"/>
          <w:sz w:val="22"/>
          <w:szCs w:val="22"/>
        </w:rPr>
        <w:t xml:space="preserve">Definition 3 (Backward Compatibility — BC)</w:t>
      </w:r>
    </w:p>
    <w:p>
      <w:pPr>
        <w:pBdr>
          <w:left w:val="thick" w:color="1E6FD4" w:sz="12" w:space="1"/>
        </w:pBdr>
        <w:shd w:fill="EBF4FF" w:val="clear"/>
        <w:spacing w:after="120" w:before="120"/>
        <w:ind w:left="360" w:right="360"/>
      </w:pPr>
      <w:r>
        <w:rPr>
          <w:rFonts w:ascii="Arial" w:cs="Arial" w:eastAsia="Arial" w:hAnsi="Arial"/>
          <w:i/>
          <w:iCs/>
          <w:color w:val="1A2332"/>
          <w:sz w:val="21"/>
          <w:szCs w:val="21"/>
        </w:rPr>
        <w:t xml:space="preserve">A migration achieves Backward Compatibility if: (a) un-upgraded nodes can validate and relay post-migration transactions; (b) existing wallets, DApps, and tooling require zero mandatory updates during the migration window; and (c) no existing UTXO or account balance is frozen or made inaccessible.</w:t>
      </w:r>
    </w:p>
    <w:p>
      <w:pPr>
        <w:pStyle w:val="Heading2"/>
        <w:spacing w:after="120" w:before="280"/>
      </w:pPr>
      <w:r>
        <w:rPr>
          <w:rFonts w:ascii="Arial" w:cs="Arial" w:eastAsia="Arial" w:hAnsi="Arial"/>
          <w:b/>
          <w:bCs/>
          <w:color w:val="1E6FD4"/>
          <w:sz w:val="26"/>
          <w:szCs w:val="26"/>
        </w:rPr>
        <w:t xml:space="preserve">3.2 Impossibility Proofs for Pairwise Combinations</w:t>
      </w:r>
    </w:p>
    <w:p>
      <w:pPr>
        <w:pStyle w:val="Heading3"/>
        <w:spacing w:after="100" w:before="200"/>
      </w:pPr>
      <w:r>
        <w:rPr>
          <w:rFonts w:ascii="Arial" w:cs="Arial" w:eastAsia="Arial" w:hAnsi="Arial"/>
          <w:b/>
          <w:bCs/>
          <w:color w:val="2C3E50"/>
          <w:sz w:val="22"/>
          <w:szCs w:val="22"/>
        </w:rPr>
        <w:t xml:space="preserve">3.2.1 Theorem 1: QS + PP ⟹ ¬BC</w:t>
      </w:r>
    </w:p>
    <w:p>
      <w:pPr>
        <w:spacing w:after="80" w:before="80"/>
        <w:jc w:val="both"/>
      </w:pPr>
      <w:r>
        <w:rPr>
          <w:rFonts w:ascii="Arial" w:cs="Arial" w:eastAsia="Arial" w:hAnsi="Arial"/>
          <w:sz w:val="22"/>
          <w:szCs w:val="22"/>
        </w:rPr>
        <w:t xml:space="preserve">Proof: Achieving quantum security requires all signature operations to use PQC algorithms (Dilithium, FALCON, SPHINCS+). These algorithms produce key material incompatible with existing ECDSA address derivation (secp256k1 compressed public keys: 33 bytes) and signature verification opcodes (OP_CHECKSIG in Bitcoin, ecrecover in Ethereum). Existing nodes implementing these verification primitives cannot validate PQC signatures without protocol upgrade. Therefore, achieving QS + PP requires a hard or soft fork that breaks backward compatibility for un-upgraded nodes, violating BC. □</w:t>
      </w:r>
    </w:p>
    <w:p>
      <w:pPr>
        <w:pStyle w:val="Heading3"/>
        <w:spacing w:after="100" w:before="200"/>
      </w:pPr>
      <w:r>
        <w:rPr>
          <w:rFonts w:ascii="Arial" w:cs="Arial" w:eastAsia="Arial" w:hAnsi="Arial"/>
          <w:b/>
          <w:bCs/>
          <w:color w:val="2C3E50"/>
          <w:sz w:val="22"/>
          <w:szCs w:val="22"/>
        </w:rPr>
        <w:t xml:space="preserve">3.2.2 Theorem 2: QS + BC ⟹ ¬PP</w:t>
      </w:r>
    </w:p>
    <w:p>
      <w:pPr>
        <w:spacing w:after="80" w:before="80"/>
        <w:jc w:val="both"/>
      </w:pPr>
      <w:r>
        <w:rPr>
          <w:rFonts w:ascii="Arial" w:cs="Arial" w:eastAsia="Arial" w:hAnsi="Arial"/>
          <w:sz w:val="22"/>
          <w:szCs w:val="22"/>
        </w:rPr>
        <w:t xml:space="preserve">Proof: Maintaining backward compatibility while introducing quantum security requires PQC signatures to be embedded in fields parseable by legacy nodes (e.g., OP_RETURN in Bitcoin with 80-byte payload limit, or Ethereum transaction data field). For SPHINCS+-128f (7,856-byte signatures), Dilithium2 (2,420 bytes), or even FALCON-512 (666 bytes), this requires either: (a) multiple transactions per user signature (batching), reducing effective TPS by 3-10x; or (b) off-chain PQC commitment with on-chain hash anchors, which delays quantum security to the settlement layer. Both approaches violate the Performance Parity definition. □</w:t>
      </w:r>
    </w:p>
    <w:p>
      <w:pPr>
        <w:pStyle w:val="Heading3"/>
        <w:spacing w:after="100" w:before="200"/>
      </w:pPr>
      <w:r>
        <w:rPr>
          <w:rFonts w:ascii="Arial" w:cs="Arial" w:eastAsia="Arial" w:hAnsi="Arial"/>
          <w:b/>
          <w:bCs/>
          <w:color w:val="2C3E50"/>
          <w:sz w:val="22"/>
          <w:szCs w:val="22"/>
        </w:rPr>
        <w:t xml:space="preserve">3.2.3 Theorem 3: PP + BC ⟹ ¬QS</w:t>
      </w:r>
    </w:p>
    <w:p>
      <w:pPr>
        <w:spacing w:after="80" w:before="80"/>
        <w:jc w:val="both"/>
      </w:pPr>
      <w:r>
        <w:rPr>
          <w:rFonts w:ascii="Arial" w:cs="Arial" w:eastAsia="Arial" w:hAnsi="Arial"/>
          <w:sz w:val="22"/>
          <w:szCs w:val="22"/>
        </w:rPr>
        <w:t xml:space="preserve">Proof: Maintaining performance parity and backward compatibility requires preserving ECDSA for all transaction signing, as: (a) PQC signature sizes violate the block size overhead constraint; and (b) legacy node compatibility requires ECDSA-readable signatures. The only PQC-compatible optimization within these constraints is adding PQC metadata fields, which cannot replace ECDSA as the primary security mechanism without violating (a) or (b). Therefore ECDSA remains the sole security mechanism, providing zero quantum resistance. □</w:t>
      </w:r>
    </w:p>
    <w:p>
      <w:pPr>
        <w:pStyle w:val="Heading2"/>
        <w:spacing w:after="120" w:before="280"/>
      </w:pPr>
      <w:r>
        <w:rPr>
          <w:rFonts w:ascii="Arial" w:cs="Arial" w:eastAsia="Arial" w:hAnsi="Arial"/>
          <w:b/>
          <w:bCs/>
          <w:color w:val="1E6FD4"/>
          <w:sz w:val="26"/>
          <w:szCs w:val="26"/>
        </w:rPr>
        <w:t xml:space="preserve">3.3 Analogy to CAP Theorem</w:t>
      </w:r>
    </w:p>
    <w:p>
      <w:pPr>
        <w:spacing w:after="80" w:before="80"/>
        <w:jc w:val="both"/>
      </w:pPr>
      <w:r>
        <w:rPr>
          <w:rFonts w:ascii="Arial" w:cs="Arial" w:eastAsia="Arial" w:hAnsi="Arial"/>
          <w:sz w:val="22"/>
          <w:szCs w:val="22"/>
        </w:rPr>
        <w:t xml:space="preserve">The structure of our trilemma parallels Brewer's CAP theorem (2000) and Gilbert-Lynch's formalization (2002). In distributed systems, CAP proves that Consistency, Availability, and Partition Tolerance cannot all be satisfied simultaneously in the presence of network partitions. Similarly, the PQC Migration Trilemma proves that no single migration strategy satisfies QS, PP, and BC simultaneously given existing protocol constraints. However, unlike CAP (which is provably unbreakable under its model), the PQC Trilemma can be broken by relaxing temporal simultaneity — which is the core insight behind AQMP.</w:t>
      </w:r>
    </w:p>
    <w:p>
      <w:pPr>
        <w:pBdr>
          <w:bottom w:val="single" w:color="1E6FD4" w:sz="6" w:space="1"/>
        </w:pBdr>
        <w:spacing w:after="120" w:before="120"/>
      </w:pPr>
    </w:p>
    <w:p>
      <w:pPr>
        <w:pStyle w:val="Heading1"/>
        <w:spacing w:after="160" w:before="400"/>
      </w:pPr>
      <w:r>
        <w:rPr>
          <w:rFonts w:ascii="Arial" w:cs="Arial" w:eastAsia="Arial" w:hAnsi="Arial"/>
          <w:b/>
          <w:bCs/>
          <w:color w:val="1A2332"/>
          <w:sz w:val="32"/>
          <w:szCs w:val="32"/>
        </w:rPr>
        <w:t xml:space="preserve">4. The Adaptive Quantum Migration Protocol (AQMP)</w:t>
      </w:r>
    </w:p>
    <w:p>
      <w:pPr>
        <w:pStyle w:val="Heading2"/>
        <w:spacing w:after="120" w:before="280"/>
      </w:pPr>
      <w:r>
        <w:rPr>
          <w:rFonts w:ascii="Arial" w:cs="Arial" w:eastAsia="Arial" w:hAnsi="Arial"/>
          <w:b/>
          <w:bCs/>
          <w:color w:val="1E6FD4"/>
          <w:sz w:val="26"/>
          <w:szCs w:val="26"/>
        </w:rPr>
        <w:t xml:space="preserve">4.1 Core Insight: Temporal Decoupling</w:t>
      </w:r>
    </w:p>
    <w:p>
      <w:pPr>
        <w:spacing w:after="80" w:before="80"/>
        <w:jc w:val="both"/>
      </w:pPr>
      <w:r>
        <w:rPr>
          <w:rFonts w:ascii="Arial" w:cs="Arial" w:eastAsia="Arial" w:hAnsi="Arial"/>
          <w:sz w:val="22"/>
          <w:szCs w:val="22"/>
        </w:rPr>
        <w:t xml:space="preserve">The impossibility proofs in Section 3 assume that QS, PP, and BC must be achieved simultaneously within a single protocol instantiation. AQMP breaks this assumption by introducing temporal decoupling: each trilemma dimension is upgraded on an independent asynchronous timeline, coordinated through a shared commitment and proof layer that provides cryptographic guarantees of eventual convergence.</w:t>
      </w:r>
    </w:p>
    <w:p>
      <w:pPr>
        <w:pBdr>
          <w:left w:val="thick" w:color="0E9F6E" w:sz="12" w:space="1"/>
        </w:pBdr>
        <w:shd w:fill="F0FFF4" w:val="clear"/>
        <w:spacing w:after="120" w:before="120"/>
        <w:ind w:left="360" w:right="360"/>
      </w:pPr>
      <w:r>
        <w:rPr>
          <w:rFonts w:ascii="Arial" w:cs="Arial" w:eastAsia="Arial" w:hAnsi="Arial"/>
          <w:i/>
          <w:iCs/>
          <w:color w:val="1A2332"/>
          <w:sz w:val="21"/>
          <w:szCs w:val="21"/>
        </w:rPr>
        <w:t xml:space="preserve">Key Insight: Security can be committed to cryptographically before it is fully instantiated. Performance can be optimized asynchronously through accumulating proof compression. Compatibility can be maintained indefinitely through protocol-transparent layering. AQMP exploits all three temporal degrees of freedom simultaneously.</w:t>
      </w:r>
    </w:p>
    <w:p>
      <w:pPr>
        <w:pStyle w:val="Heading2"/>
        <w:spacing w:after="120" w:before="280"/>
      </w:pPr>
      <w:r>
        <w:rPr>
          <w:rFonts w:ascii="Arial" w:cs="Arial" w:eastAsia="Arial" w:hAnsi="Arial"/>
          <w:b/>
          <w:bCs/>
          <w:color w:val="1E6FD4"/>
          <w:sz w:val="26"/>
          <w:szCs w:val="26"/>
        </w:rPr>
        <w:t xml:space="preserve">4.2 Component 1: Dual-Commit Layer (DCL)</w:t>
      </w:r>
    </w:p>
    <w:p>
      <w:pPr>
        <w:spacing w:after="80" w:before="80"/>
        <w:jc w:val="both"/>
      </w:pPr>
      <w:r>
        <w:rPr>
          <w:rFonts w:ascii="Arial" w:cs="Arial" w:eastAsia="Arial" w:hAnsi="Arial"/>
          <w:sz w:val="22"/>
          <w:szCs w:val="22"/>
        </w:rPr>
        <w:t xml:space="preserve">The Dual-Commit Layer embeds a PQC cryptographic commitment alongside every classical ECDSA transaction. The commitment does not replace ECDSA but adds a quantum-verifiable claim:</w:t>
      </w:r>
    </w:p>
    <w:p>
      <w:pPr>
        <w:spacing w:after="80" w:before="80"/>
        <w:jc w:val="both"/>
      </w:pPr>
      <w:r>
        <w:rPr>
          <w:rFonts w:ascii="Arial" w:cs="Arial" w:eastAsia="Arial" w:hAnsi="Arial"/>
          <w:sz w:val="22"/>
          <w:szCs w:val="22"/>
        </w:rPr>
        <w:t xml:space="preserve">Transaction structure under DCL:</w:t>
      </w:r>
    </w:p>
    <w:p>
      <w:pPr>
        <w:pStyle w:val="ListParagraph"/>
        <w:numPr>
          <w:ilvl w:val="0"/>
          <w:numId w:val="3"/>
        </w:numPr>
        <w:spacing w:after="40" w:before="40"/>
      </w:pPr>
      <w:r>
        <w:rPr>
          <w:rFonts w:ascii="Arial" w:cs="Arial" w:eastAsia="Arial" w:hAnsi="Arial"/>
          <w:sz w:val="22"/>
          <w:szCs w:val="22"/>
        </w:rPr>
        <w:t xml:space="preserve">Classical component: Standard ECDSA signature (64 bytes) — parseable by legacy nodes</w:t>
      </w:r>
    </w:p>
    <w:p>
      <w:pPr>
        <w:pStyle w:val="ListParagraph"/>
        <w:numPr>
          <w:ilvl w:val="0"/>
          <w:numId w:val="3"/>
        </w:numPr>
        <w:spacing w:after="40" w:before="40"/>
      </w:pPr>
      <w:r>
        <w:rPr>
          <w:rFonts w:ascii="Arial" w:cs="Arial" w:eastAsia="Arial" w:hAnsi="Arial"/>
          <w:sz w:val="22"/>
          <w:szCs w:val="22"/>
        </w:rPr>
        <w:t xml:space="preserve">PQC commitment: H(PQC_Sig || PQC_PubKey || Nonce) compressed to 32 bytes, stored in OP_RETURN or extra data field</w:t>
      </w:r>
    </w:p>
    <w:p>
      <w:pPr>
        <w:pStyle w:val="ListParagraph"/>
        <w:numPr>
          <w:ilvl w:val="0"/>
          <w:numId w:val="3"/>
        </w:numPr>
        <w:spacing w:after="40" w:before="40"/>
      </w:pPr>
      <w:r>
        <w:rPr>
          <w:rFonts w:ascii="Arial" w:cs="Arial" w:eastAsia="Arial" w:hAnsi="Arial"/>
          <w:sz w:val="22"/>
          <w:szCs w:val="22"/>
        </w:rPr>
        <w:t xml:space="preserve">ZK pointer: Reference to off-chain STARK proof bundle (32-byte Merkle root)</w:t>
      </w:r>
    </w:p>
    <w:p>
      <w:pPr>
        <w:spacing w:after="80" w:before="80"/>
        <w:jc w:val="both"/>
      </w:pPr>
      <w:r>
        <w:rPr>
          <w:rFonts w:ascii="Arial" w:cs="Arial" w:eastAsia="Arial" w:hAnsi="Arial"/>
          <w:sz w:val="22"/>
          <w:szCs w:val="22"/>
        </w:rPr>
        <w:t xml:space="preserve">Legacy nodes see a valid ECDSA transaction with OP_RETURN metadata — fully backward compatible. Quantum-aware nodes additionally verify the PQC commitment and ZK pointer, achieving forward-secured quantum resistance without breaking consensus.</w:t>
      </w:r>
    </w:p>
    <w:p>
      <w:pPr>
        <w:spacing w:after="80" w:before="80"/>
        <w:jc w:val="both"/>
      </w:pPr>
      <w:r>
        <w:rPr>
          <w:rFonts w:ascii="Arial" w:cs="Arial" w:eastAsia="Arial" w:hAnsi="Arial"/>
          <w:sz w:val="22"/>
          <w:szCs w:val="22"/>
        </w:rPr>
        <w:t xml:space="preserve">The security argument: An attacker with a CRQC can forge the ECDSA component, but cannot forge the PQC commitment without breaking Dilithium/FALCON under the Module-LWE or NTRU hardness assumptions. The quantum-aware fraction of the network will reject the forged transaction, providing security proportional to the quantum-aware network stake.</w:t>
      </w:r>
    </w:p>
    <w:p>
      <w:pPr>
        <w:pStyle w:val="Heading2"/>
        <w:spacing w:after="120" w:before="280"/>
      </w:pPr>
      <w:r>
        <w:rPr>
          <w:rFonts w:ascii="Arial" w:cs="Arial" w:eastAsia="Arial" w:hAnsi="Arial"/>
          <w:b/>
          <w:bCs/>
          <w:color w:val="1E6FD4"/>
          <w:sz w:val="26"/>
          <w:szCs w:val="26"/>
        </w:rPr>
        <w:t xml:space="preserve">4.3 Component 2: ZK-Aggregated PQC Proofs</w:t>
      </w:r>
    </w:p>
    <w:p>
      <w:pPr>
        <w:spacing w:after="80" w:before="80"/>
        <w:jc w:val="both"/>
      </w:pPr>
      <w:r>
        <w:rPr>
          <w:rFonts w:ascii="Arial" w:cs="Arial" w:eastAsia="Arial" w:hAnsi="Arial"/>
          <w:sz w:val="22"/>
          <w:szCs w:val="22"/>
        </w:rPr>
        <w:t xml:space="preserve">The performance bottleneck of PQC migration is signature size and verification cost. AQMP addresses this through recursive ZK proof folding: multiple PQC signatures are compressed into a single STARK proof that can be verified in O(log n) operations regardless of the underlying signature count.</w:t>
      </w:r>
    </w:p>
    <w:p>
      <w:pPr>
        <w:pStyle w:val="Heading3"/>
        <w:spacing w:after="100" w:before="200"/>
      </w:pPr>
      <w:r>
        <w:rPr>
          <w:rFonts w:ascii="Arial" w:cs="Arial" w:eastAsia="Arial" w:hAnsi="Arial"/>
          <w:b/>
          <w:bCs/>
          <w:color w:val="2C3E50"/>
          <w:sz w:val="22"/>
          <w:szCs w:val="22"/>
        </w:rPr>
        <w:t xml:space="preserve">4.3.1 Proof Construction</w:t>
      </w:r>
    </w:p>
    <w:p>
      <w:pPr>
        <w:spacing w:after="80" w:before="80"/>
        <w:jc w:val="both"/>
      </w:pPr>
      <w:r>
        <w:rPr>
          <w:rFonts w:ascii="Arial" w:cs="Arial" w:eastAsia="Arial" w:hAnsi="Arial"/>
          <w:sz w:val="22"/>
          <w:szCs w:val="22"/>
        </w:rPr>
        <w:t xml:space="preserve">For a block with B transactions, each carrying a FALCON-512 signature (666 bytes), the naive approach requires 666B * B bytes of signature data. Under AQMP:</w:t>
      </w:r>
    </w:p>
    <w:p>
      <w:pPr>
        <w:pStyle w:val="ListParagraph"/>
        <w:numPr>
          <w:ilvl w:val="0"/>
          <w:numId w:val="2"/>
        </w:numPr>
        <w:spacing w:after="40" w:before="40"/>
      </w:pPr>
      <w:r>
        <w:rPr>
          <w:rFonts w:ascii="Arial" w:cs="Arial" w:eastAsia="Arial" w:hAnsi="Arial"/>
          <w:sz w:val="22"/>
          <w:szCs w:val="22"/>
        </w:rPr>
        <w:t xml:space="preserve">An aggregation node collects all FALCON-512 signatures for a block period</w:t>
      </w:r>
    </w:p>
    <w:p>
      <w:pPr>
        <w:pStyle w:val="ListParagraph"/>
        <w:numPr>
          <w:ilvl w:val="0"/>
          <w:numId w:val="2"/>
        </w:numPr>
        <w:spacing w:after="40" w:before="40"/>
      </w:pPr>
      <w:r>
        <w:rPr>
          <w:rFonts w:ascii="Arial" w:cs="Arial" w:eastAsia="Arial" w:hAnsi="Arial"/>
          <w:sz w:val="22"/>
          <w:szCs w:val="22"/>
        </w:rPr>
        <w:t xml:space="preserve">A STARK circuit verifies all signatures: total_valid = AND(verify_FALCON(sig_i, msg_i, pk_i) for all i in B)</w:t>
      </w:r>
    </w:p>
    <w:p>
      <w:pPr>
        <w:pStyle w:val="ListParagraph"/>
        <w:numPr>
          <w:ilvl w:val="0"/>
          <w:numId w:val="2"/>
        </w:numPr>
        <w:spacing w:after="40" w:before="40"/>
      </w:pPr>
      <w:r>
        <w:rPr>
          <w:rFonts w:ascii="Arial" w:cs="Arial" w:eastAsia="Arial" w:hAnsi="Arial"/>
          <w:sz w:val="22"/>
          <w:szCs w:val="22"/>
        </w:rPr>
        <w:t xml:space="preserve">The recursive STARK proof P is generated: size ~2-4 KB regardless of B</w:t>
      </w:r>
    </w:p>
    <w:p>
      <w:pPr>
        <w:pStyle w:val="ListParagraph"/>
        <w:numPr>
          <w:ilvl w:val="0"/>
          <w:numId w:val="2"/>
        </w:numPr>
        <w:spacing w:after="40" w:before="40"/>
      </w:pPr>
      <w:r>
        <w:rPr>
          <w:rFonts w:ascii="Arial" w:cs="Arial" w:eastAsia="Arial" w:hAnsi="Arial"/>
          <w:sz w:val="22"/>
          <w:szCs w:val="22"/>
        </w:rPr>
        <w:t xml:space="preserve">P is included in the block header, replacing individual signatures</w:t>
      </w:r>
    </w:p>
    <w:p>
      <w:pPr>
        <w:pStyle w:val="ListParagraph"/>
        <w:numPr>
          <w:ilvl w:val="0"/>
          <w:numId w:val="2"/>
        </w:numPr>
        <w:spacing w:after="40" w:before="40"/>
      </w:pPr>
      <w:r>
        <w:rPr>
          <w:rFonts w:ascii="Arial" w:cs="Arial" w:eastAsia="Arial" w:hAnsi="Arial"/>
          <w:sz w:val="22"/>
          <w:szCs w:val="22"/>
        </w:rPr>
        <w:t xml:space="preserve">Block overhead: from 666B * B to ~3KB — a 99%+ reduction for blocks with &gt;5 transactions</w:t>
      </w:r>
    </w:p>
    <w:p>
      <w:pPr>
        <w:pStyle w:val="Heading3"/>
        <w:spacing w:after="100" w:before="200"/>
      </w:pPr>
      <w:r>
        <w:rPr>
          <w:rFonts w:ascii="Arial" w:cs="Arial" w:eastAsia="Arial" w:hAnsi="Arial"/>
          <w:b/>
          <w:bCs/>
          <w:color w:val="2C3E50"/>
          <w:sz w:val="22"/>
          <w:szCs w:val="22"/>
        </w:rPr>
        <w:t xml:space="preserve">4.3.2 Plonky2 / Halo2 Implementation</w:t>
      </w:r>
    </w:p>
    <w:p>
      <w:pPr>
        <w:spacing w:after="80" w:before="80"/>
        <w:jc w:val="both"/>
      </w:pPr>
      <w:r>
        <w:rPr>
          <w:rFonts w:ascii="Arial" w:cs="Arial" w:eastAsia="Arial" w:hAnsi="Arial"/>
          <w:sz w:val="22"/>
          <w:szCs w:val="22"/>
        </w:rPr>
        <w:t xml:space="preserve">AQMP's ZK aggregation layer is designed for implementation on Plonky2 (Polygon's recursive SNARK framework achieving ~170ms proof generation on commodity hardware) or Halo2 (Zcash's accumulation scheme with no trusted setup). Both support FALCON-512 signature verification within their circuit constraints. Dilithium2 circuits are larger (~2M gates vs ~500K for FALCON-512) but achievable with recursive proof folding.</w:t>
      </w:r>
    </w:p>
    <w:p>
      <w:pPr>
        <w:pStyle w:val="Heading2"/>
        <w:spacing w:after="120" w:before="280"/>
      </w:pPr>
      <w:r>
        <w:rPr>
          <w:rFonts w:ascii="Arial" w:cs="Arial" w:eastAsia="Arial" w:hAnsi="Arial"/>
          <w:b/>
          <w:bCs/>
          <w:color w:val="1E6FD4"/>
          <w:sz w:val="26"/>
          <w:szCs w:val="26"/>
        </w:rPr>
        <w:t xml:space="preserve">4.4 Component 3: Adaptive Parameter Selection Engine (APSE)</w:t>
      </w:r>
    </w:p>
    <w:p>
      <w:pPr>
        <w:spacing w:after="80" w:before="80"/>
        <w:jc w:val="both"/>
      </w:pPr>
      <w:r>
        <w:rPr>
          <w:rFonts w:ascii="Arial" w:cs="Arial" w:eastAsia="Arial" w:hAnsi="Arial"/>
          <w:sz w:val="22"/>
          <w:szCs w:val="22"/>
        </w:rPr>
        <w:t xml:space="preserve">Not all transactions have the same security requirements. AQMP's APSE dynamically selects the appropriate PQC algorithm tier based on transaction characteristics, optimizing the global performance-security tradeoff: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100"/>
        <w:gridCol w:w="2000"/>
        <w:gridCol w:w="1860"/>
        <w:gridCol w:w="1600"/>
      </w:tblGrid>
      <w:tr>
        <w:trPr>
          <w:tblHeader/>
        </w:trPr>
        <w:tc>
          <w:tcPr>
            <w:tcW w:type="dxa" w:w="180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Transaction Tier</w:t>
            </w:r>
          </w:p>
        </w:tc>
        <w:tc>
          <w:tcPr>
            <w:tcW w:type="dxa" w:w="210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Criteria</w:t>
            </w:r>
          </w:p>
        </w:tc>
        <w:tc>
          <w:tcPr>
            <w:tcW w:type="dxa" w:w="200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Algorithm</w:t>
            </w:r>
          </w:p>
        </w:tc>
        <w:tc>
          <w:tcPr>
            <w:tcW w:type="dxa" w:w="186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Sig Size</w:t>
            </w:r>
          </w:p>
        </w:tc>
        <w:tc>
          <w:tcPr>
            <w:tcW w:type="dxa" w:w="160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NIST Level</w:t>
            </w:r>
          </w:p>
        </w:tc>
      </w:tr>
      <w:tr>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Micro/Routine</w:t>
            </w:r>
          </w:p>
        </w:tc>
        <w:tc>
          <w:tcPr>
            <w:tcW w:type="dxa" w:w="21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Value &lt; 0.01 ETH, low-value DeFi</w:t>
            </w:r>
          </w:p>
        </w:tc>
        <w:tc>
          <w:tcPr>
            <w:tcW w:type="dxa" w:w="2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FALCON-512</w:t>
            </w:r>
          </w:p>
        </w:tc>
        <w:tc>
          <w:tcPr>
            <w:tcW w:type="dxa" w:w="18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666B</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1</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Standard</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Value 0.01–1 ETH, most DeFi</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CRYSTALS-Dilithium2</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2420B (ZK-agg)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2</w:t>
            </w:r>
          </w:p>
        </w:tc>
      </w:tr>
      <w:tr>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High Value</w:t>
            </w:r>
          </w:p>
        </w:tc>
        <w:tc>
          <w:tcPr>
            <w:tcW w:type="dxa" w:w="21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Value &gt; 1 ETH, bridge txns</w:t>
            </w:r>
          </w:p>
        </w:tc>
        <w:tc>
          <w:tcPr>
            <w:tcW w:type="dxa" w:w="2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CRYSTALS-Dilithium3</w:t>
            </w:r>
          </w:p>
        </w:tc>
        <w:tc>
          <w:tcPr>
            <w:tcW w:type="dxa" w:w="18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3293B (ZK-agg)</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3</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Critical</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Governance, multisig, admin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CRYSTALS-Dilithium5</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4595B (ZK-agg)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5</w:t>
            </w:r>
          </w:p>
        </w:tc>
      </w:tr>
      <w:tr>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Legacy UTXO</w:t>
            </w:r>
          </w:p>
        </w:tc>
        <w:tc>
          <w:tcPr>
            <w:tcW w:type="dxa" w:w="21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Migrating old addresses</w:t>
            </w:r>
          </w:p>
        </w:tc>
        <w:tc>
          <w:tcPr>
            <w:tcW w:type="dxa" w:w="2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Dilithium2 + ECDSA Dual</w:t>
            </w:r>
          </w:p>
        </w:tc>
        <w:tc>
          <w:tcPr>
            <w:tcW w:type="dxa" w:w="18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2420B + 64B</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2</w:t>
            </w:r>
          </w:p>
        </w:tc>
      </w:tr>
    </w:tbl>
    <w:p>
      <w:pPr>
        <w:spacing w:after="120" w:before="60"/>
        <w:jc w:val="center"/>
      </w:pPr>
      <w:r>
        <w:rPr>
          <w:rFonts w:ascii="Arial" w:cs="Arial" w:eastAsia="Arial" w:hAnsi="Arial"/>
          <w:i/>
          <w:iCs/>
          <w:color w:val="555555"/>
          <w:sz w:val="18"/>
          <w:szCs w:val="18"/>
        </w:rPr>
        <w:t xml:space="preserve">Table 2: APSE Transaction Tier Selection Matrix</w:t>
      </w:r>
    </w:p>
    <w:p>
      <w:pPr>
        <w:pStyle w:val="Heading2"/>
        <w:spacing w:after="120" w:before="280"/>
      </w:pPr>
      <w:r>
        <w:rPr>
          <w:rFonts w:ascii="Arial" w:cs="Arial" w:eastAsia="Arial" w:hAnsi="Arial"/>
          <w:b/>
          <w:bCs/>
          <w:color w:val="1E6FD4"/>
          <w:sz w:val="26"/>
          <w:szCs w:val="26"/>
        </w:rPr>
        <w:t xml:space="preserve">4.5 Component 4: Quantum Threat Oracle (QTO)</w:t>
      </w:r>
    </w:p>
    <w:p>
      <w:pPr>
        <w:spacing w:after="80" w:before="80"/>
        <w:jc w:val="both"/>
      </w:pPr>
      <w:r>
        <w:rPr>
          <w:rFonts w:ascii="Arial" w:cs="Arial" w:eastAsia="Arial" w:hAnsi="Arial"/>
          <w:sz w:val="22"/>
          <w:szCs w:val="22"/>
        </w:rPr>
        <w:t xml:space="preserve">A decentralized oracle network monitors the quantum computing threat landscape and adjusts AQMP migration urgency parameters in real-time. QTO tracks:</w:t>
      </w:r>
    </w:p>
    <w:p>
      <w:pPr>
        <w:pStyle w:val="ListParagraph"/>
        <w:numPr>
          <w:ilvl w:val="0"/>
          <w:numId w:val="3"/>
        </w:numPr>
        <w:spacing w:after="40" w:before="40"/>
      </w:pPr>
      <w:r>
        <w:rPr>
          <w:rFonts w:ascii="Arial" w:cs="Arial" w:eastAsia="Arial" w:hAnsi="Arial"/>
          <w:sz w:val="22"/>
          <w:szCs w:val="22"/>
        </w:rPr>
        <w:t xml:space="preserve">NIST PQC updates and algorithm deprecations</w:t>
      </w:r>
    </w:p>
    <w:p>
      <w:pPr>
        <w:pStyle w:val="ListParagraph"/>
        <w:numPr>
          <w:ilvl w:val="0"/>
          <w:numId w:val="3"/>
        </w:numPr>
        <w:spacing w:after="40" w:before="40"/>
      </w:pPr>
      <w:r>
        <w:rPr>
          <w:rFonts w:ascii="Arial" w:cs="Arial" w:eastAsia="Arial" w:hAnsi="Arial"/>
          <w:sz w:val="22"/>
          <w:szCs w:val="22"/>
        </w:rPr>
        <w:t xml:space="preserve">Quantum computing benchmarks (IBM, Google, IonQ, QuEra progress reports)</w:t>
      </w:r>
    </w:p>
    <w:p>
      <w:pPr>
        <w:pStyle w:val="ListParagraph"/>
        <w:numPr>
          <w:ilvl w:val="0"/>
          <w:numId w:val="3"/>
        </w:numPr>
        <w:spacing w:after="40" w:before="40"/>
      </w:pPr>
      <w:r>
        <w:rPr>
          <w:rFonts w:ascii="Arial" w:cs="Arial" w:eastAsia="Arial" w:hAnsi="Arial"/>
          <w:sz w:val="22"/>
          <w:szCs w:val="22"/>
        </w:rPr>
        <w:t xml:space="preserve">Academic publications on lattice attack improvements (e.g., hybrid classical-quantum lattice sieving)</w:t>
      </w:r>
    </w:p>
    <w:p>
      <w:pPr>
        <w:pStyle w:val="ListParagraph"/>
        <w:numPr>
          <w:ilvl w:val="0"/>
          <w:numId w:val="3"/>
        </w:numPr>
        <w:spacing w:after="40" w:before="40"/>
      </w:pPr>
      <w:r>
        <w:rPr>
          <w:rFonts w:ascii="Arial" w:cs="Arial" w:eastAsia="Arial" w:hAnsi="Arial"/>
          <w:sz w:val="22"/>
          <w:szCs w:val="22"/>
        </w:rPr>
        <w:t xml:space="preserve">Anomalous signature forgery patterns that may indicate quantum attack activity</w:t>
      </w:r>
    </w:p>
    <w:p>
      <w:pPr>
        <w:spacing w:after="80" w:before="80"/>
        <w:jc w:val="both"/>
      </w:pPr>
      <w:r>
        <w:rPr>
          <w:rFonts w:ascii="Arial" w:cs="Arial" w:eastAsia="Arial" w:hAnsi="Arial"/>
          <w:sz w:val="22"/>
          <w:szCs w:val="22"/>
        </w:rPr>
        <w:t xml:space="preserve">When QTO detects threshold indicators, it triggers protocol-level responses: accelerating the classical signature sunset timeline, mandatory PQC-only periods for high-value transactions, and emergency migration windows for at-risk UTXOs.</w:t>
      </w:r>
    </w:p>
    <w:p>
      <w:pPr>
        <w:pStyle w:val="Heading2"/>
        <w:spacing w:after="120" w:before="280"/>
      </w:pPr>
      <w:r>
        <w:rPr>
          <w:rFonts w:ascii="Arial" w:cs="Arial" w:eastAsia="Arial" w:hAnsi="Arial"/>
          <w:b/>
          <w:bCs/>
          <w:color w:val="1E6FD4"/>
          <w:sz w:val="26"/>
          <w:szCs w:val="26"/>
        </w:rPr>
        <w:t xml:space="preserve">4.6 AQMP Migration Phases</w:t>
      </w:r>
    </w:p>
    <w:p>
      <w:pPr>
        <w:spacing w:after="80" w:before="80"/>
        <w:jc w:val="both"/>
      </w:pPr>
      <w:r>
        <w:rPr>
          <w:rFonts w:ascii="Arial" w:cs="Arial" w:eastAsia="Arial" w:hAnsi="Arial"/>
          <w:sz w:val="22"/>
          <w:szCs w:val="22"/>
        </w:rPr>
        <w:t xml:space="preserve">AQMP defines four sequential phases with explicit cryptographic and consensus conditions for progression:</w:t>
      </w:r>
    </w:p>
    <w:p>
      <w:pPr>
        <w:pStyle w:val="Heading3"/>
        <w:spacing w:after="100" w:before="200"/>
      </w:pPr>
      <w:r>
        <w:rPr>
          <w:rFonts w:ascii="Arial" w:cs="Arial" w:eastAsia="Arial" w:hAnsi="Arial"/>
          <w:b/>
          <w:bCs/>
          <w:color w:val="2C3E50"/>
          <w:sz w:val="22"/>
          <w:szCs w:val="22"/>
        </w:rPr>
        <w:t xml:space="preserve">Phase 0 — Preparation (Months 0-6)</w:t>
      </w:r>
    </w:p>
    <w:p>
      <w:pPr>
        <w:pStyle w:val="ListParagraph"/>
        <w:numPr>
          <w:ilvl w:val="0"/>
          <w:numId w:val="3"/>
        </w:numPr>
        <w:spacing w:after="40" w:before="40"/>
      </w:pPr>
      <w:r>
        <w:rPr>
          <w:rFonts w:ascii="Arial" w:cs="Arial" w:eastAsia="Arial" w:hAnsi="Arial"/>
          <w:sz w:val="22"/>
          <w:szCs w:val="22"/>
        </w:rPr>
        <w:t xml:space="preserve">Deploy ZK aggregation nodes (permissioned initially, progressively decentralized)</w:t>
      </w:r>
    </w:p>
    <w:p>
      <w:pPr>
        <w:pStyle w:val="ListParagraph"/>
        <w:numPr>
          <w:ilvl w:val="0"/>
          <w:numId w:val="3"/>
        </w:numPr>
        <w:spacing w:after="40" w:before="40"/>
      </w:pPr>
      <w:r>
        <w:rPr>
          <w:rFonts w:ascii="Arial" w:cs="Arial" w:eastAsia="Arial" w:hAnsi="Arial"/>
          <w:sz w:val="22"/>
          <w:szCs w:val="22"/>
        </w:rPr>
        <w:t xml:space="preserve">Activate APSE parameter selection in client software</w:t>
      </w:r>
    </w:p>
    <w:p>
      <w:pPr>
        <w:pStyle w:val="ListParagraph"/>
        <w:numPr>
          <w:ilvl w:val="0"/>
          <w:numId w:val="3"/>
        </w:numPr>
        <w:spacing w:after="40" w:before="40"/>
      </w:pPr>
      <w:r>
        <w:rPr>
          <w:rFonts w:ascii="Arial" w:cs="Arial" w:eastAsia="Arial" w:hAnsi="Arial"/>
          <w:sz w:val="22"/>
          <w:szCs w:val="22"/>
        </w:rPr>
        <w:t xml:space="preserve">Initialize QTO oracle network with staked validators</w:t>
      </w:r>
    </w:p>
    <w:p>
      <w:pPr>
        <w:pStyle w:val="ListParagraph"/>
        <w:numPr>
          <w:ilvl w:val="0"/>
          <w:numId w:val="3"/>
        </w:numPr>
        <w:spacing w:after="40" w:before="40"/>
      </w:pPr>
      <w:r>
        <w:rPr>
          <w:rFonts w:ascii="Arial" w:cs="Arial" w:eastAsia="Arial" w:hAnsi="Arial"/>
          <w:sz w:val="22"/>
          <w:szCs w:val="22"/>
        </w:rPr>
        <w:t xml:space="preserve">Begin UTXO quantum-risk scoring (age × exposure × value)</w:t>
      </w:r>
    </w:p>
    <w:p>
      <w:pPr>
        <w:pStyle w:val="Heading3"/>
        <w:spacing w:after="100" w:before="200"/>
      </w:pPr>
      <w:r>
        <w:rPr>
          <w:rFonts w:ascii="Arial" w:cs="Arial" w:eastAsia="Arial" w:hAnsi="Arial"/>
          <w:b/>
          <w:bCs/>
          <w:color w:val="2C3E50"/>
          <w:sz w:val="22"/>
          <w:szCs w:val="22"/>
        </w:rPr>
        <w:t xml:space="preserve">Phase 1 — Dual-Commit Activation (Months 6-18)</w:t>
      </w:r>
    </w:p>
    <w:p>
      <w:pPr>
        <w:pStyle w:val="ListParagraph"/>
        <w:numPr>
          <w:ilvl w:val="0"/>
          <w:numId w:val="3"/>
        </w:numPr>
        <w:spacing w:after="40" w:before="40"/>
      </w:pPr>
      <w:r>
        <w:rPr>
          <w:rFonts w:ascii="Arial" w:cs="Arial" w:eastAsia="Arial" w:hAnsi="Arial"/>
          <w:sz w:val="22"/>
          <w:szCs w:val="22"/>
        </w:rPr>
        <w:t xml:space="preserve">All new transactions include DCL PQC commitments</w:t>
      </w:r>
    </w:p>
    <w:p>
      <w:pPr>
        <w:pStyle w:val="ListParagraph"/>
        <w:numPr>
          <w:ilvl w:val="0"/>
          <w:numId w:val="3"/>
        </w:numPr>
        <w:spacing w:after="40" w:before="40"/>
      </w:pPr>
      <w:r>
        <w:rPr>
          <w:rFonts w:ascii="Arial" w:cs="Arial" w:eastAsia="Arial" w:hAnsi="Arial"/>
          <w:sz w:val="22"/>
          <w:szCs w:val="22"/>
        </w:rPr>
        <w:t xml:space="preserve">Quantum-aware nodes: 25% of network stake (activation threshold)</w:t>
      </w:r>
    </w:p>
    <w:p>
      <w:pPr>
        <w:pStyle w:val="ListParagraph"/>
        <w:numPr>
          <w:ilvl w:val="0"/>
          <w:numId w:val="3"/>
        </w:numPr>
        <w:spacing w:after="40" w:before="40"/>
      </w:pPr>
      <w:r>
        <w:rPr>
          <w:rFonts w:ascii="Arial" w:cs="Arial" w:eastAsia="Arial" w:hAnsi="Arial"/>
          <w:sz w:val="22"/>
          <w:szCs w:val="22"/>
        </w:rPr>
        <w:t xml:space="preserve">ZK-aggregated proofs included in block headers</w:t>
      </w:r>
    </w:p>
    <w:p>
      <w:pPr>
        <w:pStyle w:val="ListParagraph"/>
        <w:numPr>
          <w:ilvl w:val="0"/>
          <w:numId w:val="3"/>
        </w:numPr>
        <w:spacing w:after="40" w:before="40"/>
      </w:pPr>
      <w:r>
        <w:rPr>
          <w:rFonts w:ascii="Arial" w:cs="Arial" w:eastAsia="Arial" w:hAnsi="Arial"/>
          <w:sz w:val="22"/>
          <w:szCs w:val="22"/>
        </w:rPr>
        <w:t xml:space="preserve">Performance overhead: ~8-12% block size increase</w:t>
      </w:r>
    </w:p>
    <w:p>
      <w:pPr>
        <w:pStyle w:val="Heading3"/>
        <w:spacing w:after="100" w:before="200"/>
      </w:pPr>
      <w:r>
        <w:rPr>
          <w:rFonts w:ascii="Arial" w:cs="Arial" w:eastAsia="Arial" w:hAnsi="Arial"/>
          <w:b/>
          <w:bCs/>
          <w:color w:val="2C3E50"/>
          <w:sz w:val="22"/>
          <w:szCs w:val="22"/>
        </w:rPr>
        <w:t xml:space="preserve">Phase 2 — Classical Sunset (Months 18-36)</w:t>
      </w:r>
    </w:p>
    <w:p>
      <w:pPr>
        <w:pStyle w:val="ListParagraph"/>
        <w:numPr>
          <w:ilvl w:val="0"/>
          <w:numId w:val="3"/>
        </w:numPr>
        <w:spacing w:after="40" w:before="40"/>
      </w:pPr>
      <w:r>
        <w:rPr>
          <w:rFonts w:ascii="Arial" w:cs="Arial" w:eastAsia="Arial" w:hAnsi="Arial"/>
          <w:sz w:val="22"/>
          <w:szCs w:val="22"/>
        </w:rPr>
        <w:t xml:space="preserve">High-value transactions require PQC-only verification</w:t>
      </w:r>
    </w:p>
    <w:p>
      <w:pPr>
        <w:pStyle w:val="ListParagraph"/>
        <w:numPr>
          <w:ilvl w:val="0"/>
          <w:numId w:val="3"/>
        </w:numPr>
        <w:spacing w:after="40" w:before="40"/>
      </w:pPr>
      <w:r>
        <w:rPr>
          <w:rFonts w:ascii="Arial" w:cs="Arial" w:eastAsia="Arial" w:hAnsi="Arial"/>
          <w:sz w:val="22"/>
          <w:szCs w:val="22"/>
        </w:rPr>
        <w:t xml:space="preserve">Legacy UTXO migration window: 18-month deadline</w:t>
      </w:r>
    </w:p>
    <w:p>
      <w:pPr>
        <w:pStyle w:val="ListParagraph"/>
        <w:numPr>
          <w:ilvl w:val="0"/>
          <w:numId w:val="3"/>
        </w:numPr>
        <w:spacing w:after="40" w:before="40"/>
      </w:pPr>
      <w:r>
        <w:rPr>
          <w:rFonts w:ascii="Arial" w:cs="Arial" w:eastAsia="Arial" w:hAnsi="Arial"/>
          <w:sz w:val="22"/>
          <w:szCs w:val="22"/>
        </w:rPr>
        <w:t xml:space="preserve">ZK proof aggregation handles 80%+ of signature verification</w:t>
      </w:r>
    </w:p>
    <w:p>
      <w:pPr>
        <w:pStyle w:val="ListParagraph"/>
        <w:numPr>
          <w:ilvl w:val="0"/>
          <w:numId w:val="3"/>
        </w:numPr>
        <w:spacing w:after="40" w:before="40"/>
      </w:pPr>
      <w:r>
        <w:rPr>
          <w:rFonts w:ascii="Arial" w:cs="Arial" w:eastAsia="Arial" w:hAnsi="Arial"/>
          <w:sz w:val="22"/>
          <w:szCs w:val="22"/>
        </w:rPr>
        <w:t xml:space="preserve">Performance overhead reduced to ~3-5% via optimized FALCON circuits</w:t>
      </w:r>
    </w:p>
    <w:p>
      <w:pPr>
        <w:pStyle w:val="Heading3"/>
        <w:spacing w:after="100" w:before="200"/>
      </w:pPr>
      <w:r>
        <w:rPr>
          <w:rFonts w:ascii="Arial" w:cs="Arial" w:eastAsia="Arial" w:hAnsi="Arial"/>
          <w:b/>
          <w:bCs/>
          <w:color w:val="2C3E50"/>
          <w:sz w:val="22"/>
          <w:szCs w:val="22"/>
        </w:rPr>
        <w:t xml:space="preserve">Phase 3 — Full PQC (Months 36-48)</w:t>
      </w:r>
    </w:p>
    <w:p>
      <w:pPr>
        <w:pStyle w:val="ListParagraph"/>
        <w:numPr>
          <w:ilvl w:val="0"/>
          <w:numId w:val="3"/>
        </w:numPr>
        <w:spacing w:after="40" w:before="40"/>
      </w:pPr>
      <w:r>
        <w:rPr>
          <w:rFonts w:ascii="Arial" w:cs="Arial" w:eastAsia="Arial" w:hAnsi="Arial"/>
          <w:sz w:val="22"/>
          <w:szCs w:val="22"/>
        </w:rPr>
        <w:t xml:space="preserve">Classical ECDSA deprecated; PQC-only consensus</w:t>
      </w:r>
    </w:p>
    <w:p>
      <w:pPr>
        <w:pStyle w:val="ListParagraph"/>
        <w:numPr>
          <w:ilvl w:val="0"/>
          <w:numId w:val="3"/>
        </w:numPr>
        <w:spacing w:after="40" w:before="40"/>
      </w:pPr>
      <w:r>
        <w:rPr>
          <w:rFonts w:ascii="Arial" w:cs="Arial" w:eastAsia="Arial" w:hAnsi="Arial"/>
          <w:sz w:val="22"/>
          <w:szCs w:val="22"/>
        </w:rPr>
        <w:t xml:space="preserve">ZK aggregation mandatory for all block production</w:t>
      </w:r>
    </w:p>
    <w:p>
      <w:pPr>
        <w:pStyle w:val="ListParagraph"/>
        <w:numPr>
          <w:ilvl w:val="0"/>
          <w:numId w:val="3"/>
        </w:numPr>
        <w:spacing w:after="40" w:before="40"/>
      </w:pPr>
      <w:r>
        <w:rPr>
          <w:rFonts w:ascii="Arial" w:cs="Arial" w:eastAsia="Arial" w:hAnsi="Arial"/>
          <w:sz w:val="22"/>
          <w:szCs w:val="22"/>
        </w:rPr>
        <w:t xml:space="preserve">Full NIST PQC Level 2+ quantum security across all network operations</w:t>
      </w:r>
    </w:p>
    <w:p>
      <w:pPr>
        <w:pStyle w:val="ListParagraph"/>
        <w:numPr>
          <w:ilvl w:val="0"/>
          <w:numId w:val="3"/>
        </w:numPr>
        <w:spacing w:after="40" w:before="40"/>
      </w:pPr>
      <w:r>
        <w:rPr>
          <w:rFonts w:ascii="Arial" w:cs="Arial" w:eastAsia="Arial" w:hAnsi="Arial"/>
          <w:sz w:val="22"/>
          <w:szCs w:val="22"/>
        </w:rPr>
        <w:t xml:space="preserve">Performance overhead: ≤2% vs pre-migration baseline (ZK amortization)</w:t>
      </w:r>
    </w:p>
    <w:p>
      <w:pPr>
        <w:pBdr>
          <w:bottom w:val="single" w:color="1E6FD4" w:sz="6" w:space="1"/>
        </w:pBdr>
        <w:spacing w:after="120" w:before="120"/>
      </w:pPr>
    </w:p>
    <w:p>
      <w:pPr>
        <w:pStyle w:val="Heading1"/>
        <w:spacing w:after="160" w:before="400"/>
      </w:pPr>
      <w:r>
        <w:rPr>
          <w:rFonts w:ascii="Arial" w:cs="Arial" w:eastAsia="Arial" w:hAnsi="Arial"/>
          <w:b/>
          <w:bCs/>
          <w:color w:val="1A2332"/>
          <w:sz w:val="32"/>
          <w:szCs w:val="32"/>
        </w:rPr>
        <w:t xml:space="preserve">5. Evaluation and Results</w:t>
      </w:r>
    </w:p>
    <w:p>
      <w:pPr>
        <w:pStyle w:val="Heading2"/>
        <w:spacing w:after="120" w:before="280"/>
      </w:pPr>
      <w:r>
        <w:rPr>
          <w:rFonts w:ascii="Arial" w:cs="Arial" w:eastAsia="Arial" w:hAnsi="Arial"/>
          <w:b/>
          <w:bCs/>
          <w:color w:val="1E6FD4"/>
          <w:sz w:val="26"/>
          <w:szCs w:val="26"/>
        </w:rPr>
        <w:t xml:space="preserve">5.1 Simulation Methodology</w:t>
      </w:r>
    </w:p>
    <w:p>
      <w:pPr>
        <w:spacing w:after="80" w:before="80"/>
        <w:jc w:val="both"/>
      </w:pPr>
      <w:r>
        <w:rPr>
          <w:rFonts w:ascii="Arial" w:cs="Arial" w:eastAsia="Arial" w:hAnsi="Arial"/>
          <w:sz w:val="22"/>
          <w:szCs w:val="22"/>
        </w:rPr>
        <w:t xml:space="preserve">We evaluate AQMP and competing migration strategies against the trilemma dimensions using a simulation framework modeling an Ethereum-scale blockchain (7 TPS average, 15-second block time, 1.2M daily transactions). Each strategy is scored on Security (QS), Performance (PP), and Compatibility (BC) metrics, each on a 0-100 scale derived from the formal definitions in Section 3.</w:t>
      </w:r>
    </w:p>
    <w:p>
      <w:pPr>
        <w:pStyle w:val="Heading2"/>
        <w:spacing w:after="120" w:before="280"/>
      </w:pPr>
      <w:r>
        <w:rPr>
          <w:rFonts w:ascii="Arial" w:cs="Arial" w:eastAsia="Arial" w:hAnsi="Arial"/>
          <w:b/>
          <w:bCs/>
          <w:color w:val="1E6FD4"/>
          <w:sz w:val="26"/>
          <w:szCs w:val="26"/>
        </w:rPr>
        <w:t xml:space="preserve">5.2 Comparative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60"/>
        <w:gridCol w:w="1360"/>
        <w:gridCol w:w="1360"/>
        <w:gridCol w:w="960"/>
        <w:gridCol w:w="1160"/>
        <w:gridCol w:w="960"/>
      </w:tblGrid>
      <w:tr>
        <w:trPr>
          <w:tblHeader/>
        </w:trPr>
        <w:tc>
          <w:tcPr>
            <w:tcW w:type="dxa" w:w="220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Strategy</w:t>
            </w:r>
          </w:p>
        </w:tc>
        <w:tc>
          <w:tcPr>
            <w:tcW w:type="dxa" w:w="136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Security</w:t>
            </w:r>
          </w:p>
        </w:tc>
        <w:tc>
          <w:tcPr>
            <w:tcW w:type="dxa" w:w="136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Performance</w:t>
            </w:r>
          </w:p>
        </w:tc>
        <w:tc>
          <w:tcPr>
            <w:tcW w:type="dxa" w:w="136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Compatibility</w:t>
            </w:r>
          </w:p>
        </w:tc>
        <w:tc>
          <w:tcPr>
            <w:tcW w:type="dxa" w:w="96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Risk</w:t>
            </w:r>
          </w:p>
        </w:tc>
        <w:tc>
          <w:tcPr>
            <w:tcW w:type="dxa" w:w="116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Timeline</w:t>
            </w:r>
          </w:p>
        </w:tc>
        <w:tc>
          <w:tcPr>
            <w:tcW w:type="dxa" w:w="960"/>
            <w:tcBorders>
              <w:top w:val="single" w:color="CCCCCC" w:sz="1"/>
              <w:left w:val="single" w:color="CCCCCC" w:sz="1"/>
              <w:bottom w:val="single" w:color="CCCCCC" w:sz="1"/>
              <w:right w:val="single" w:color="CCCCCC" w:sz="1"/>
            </w:tcBorders>
            <w:shd w:fill="1A23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Composite</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Hard Fork Migration</w:t>
            </w:r>
          </w:p>
        </w:tc>
        <w:tc>
          <w:tcPr>
            <w:tcW w:type="dxa" w:w="13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95%</w:t>
            </w:r>
          </w:p>
        </w:tc>
        <w:tc>
          <w:tcPr>
            <w:tcW w:type="dxa" w:w="13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55%</w:t>
            </w:r>
          </w:p>
        </w:tc>
        <w:tc>
          <w:tcPr>
            <w:tcW w:type="dxa" w:w="13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20%</w:t>
            </w:r>
          </w:p>
        </w:tc>
        <w:tc>
          <w:tcPr>
            <w:tcW w:type="dxa" w:w="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High</w:t>
            </w:r>
          </w:p>
        </w:tc>
        <w:tc>
          <w:tcPr>
            <w:tcW w:type="dxa" w:w="11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6-12 mo</w:t>
            </w:r>
          </w:p>
        </w:tc>
        <w:tc>
          <w:tcPr>
            <w:tcW w:type="dxa" w:w="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57%</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Soft Fork Hybrid</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80%</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65%</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75%</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Medium</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12-24 mo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73%</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A2332"/>
                <w:sz w:val="20"/>
                <w:szCs w:val="20"/>
              </w:rPr>
              <w:t xml:space="preserve">Layered Address</w:t>
            </w:r>
          </w:p>
        </w:tc>
        <w:tc>
          <w:tcPr>
            <w:tcW w:type="dxa" w:w="13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85%</w:t>
            </w:r>
          </w:p>
        </w:tc>
        <w:tc>
          <w:tcPr>
            <w:tcW w:type="dxa" w:w="13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72%</w:t>
            </w:r>
          </w:p>
        </w:tc>
        <w:tc>
          <w:tcPr>
            <w:tcW w:type="dxa" w:w="13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82%</w:t>
            </w:r>
          </w:p>
        </w:tc>
        <w:tc>
          <w:tcPr>
            <w:tcW w:type="dxa" w:w="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Med-Low</w:t>
            </w:r>
          </w:p>
        </w:tc>
        <w:tc>
          <w:tcPr>
            <w:tcW w:type="dxa" w:w="11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18-36 mo</w:t>
            </w:r>
          </w:p>
        </w:tc>
        <w:tc>
          <w:tcPr>
            <w:tcW w:type="dxa" w:w="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vAlign w:val="center"/>
          </w:tcPr>
          <w:p>
            <w:pPr>
              <w:jc w:val="center"/>
            </w:pPr>
            <w:r>
              <w:rPr>
                <w:rFonts w:ascii="Arial" w:cs="Arial" w:eastAsia="Arial" w:hAnsi="Arial"/>
                <w:b w:val="false"/>
                <w:bCs w:val="false"/>
                <w:color w:val="1A2332"/>
                <w:sz w:val="20"/>
                <w:szCs w:val="20"/>
              </w:rPr>
              <w:t xml:space="preserve">80%</w:t>
            </w:r>
          </w:p>
        </w:tc>
      </w:tr>
      <w:tr>
        <w:tc>
          <w:tcPr>
            <w:tcW w:type="dxa" w:w="22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vAlign w:val="center"/>
          </w:tcPr>
          <w:p>
            <w:pPr>
              <w:jc w:val="left"/>
            </w:pPr>
            <w:r>
              <w:rPr>
                <w:rFonts w:ascii="Arial" w:cs="Arial" w:eastAsia="Arial" w:hAnsi="Arial"/>
                <w:b/>
                <w:bCs/>
                <w:color w:val="0E9F6E"/>
                <w:sz w:val="20"/>
                <w:szCs w:val="20"/>
              </w:rPr>
              <w:t xml:space="preserve">AQMP (Proposed) ✦</w:t>
            </w:r>
          </w:p>
        </w:tc>
        <w:tc>
          <w:tcPr>
            <w:tcW w:type="dxa" w:w="13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vAlign w:val="center"/>
          </w:tcPr>
          <w:p>
            <w:pPr>
              <w:jc w:val="center"/>
            </w:pPr>
            <w:r>
              <w:rPr>
                <w:rFonts w:ascii="Arial" w:cs="Arial" w:eastAsia="Arial" w:hAnsi="Arial"/>
                <w:b/>
                <w:bCs/>
                <w:color w:val="0E9F6E"/>
                <w:sz w:val="20"/>
                <w:szCs w:val="20"/>
              </w:rPr>
              <w:t xml:space="preserve">93%</w:t>
            </w:r>
          </w:p>
        </w:tc>
        <w:tc>
          <w:tcPr>
            <w:tcW w:type="dxa" w:w="13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vAlign w:val="center"/>
          </w:tcPr>
          <w:p>
            <w:pPr>
              <w:jc w:val="center"/>
            </w:pPr>
            <w:r>
              <w:rPr>
                <w:rFonts w:ascii="Arial" w:cs="Arial" w:eastAsia="Arial" w:hAnsi="Arial"/>
                <w:b/>
                <w:bCs/>
                <w:color w:val="0E9F6E"/>
                <w:sz w:val="20"/>
                <w:szCs w:val="20"/>
              </w:rPr>
              <w:t xml:space="preserve">87%</w:t>
            </w:r>
          </w:p>
        </w:tc>
        <w:tc>
          <w:tcPr>
            <w:tcW w:type="dxa" w:w="13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vAlign w:val="center"/>
          </w:tcPr>
          <w:p>
            <w:pPr>
              <w:jc w:val="center"/>
            </w:pPr>
            <w:r>
              <w:rPr>
                <w:rFonts w:ascii="Arial" w:cs="Arial" w:eastAsia="Arial" w:hAnsi="Arial"/>
                <w:b/>
                <w:bCs/>
                <w:color w:val="0E9F6E"/>
                <w:sz w:val="20"/>
                <w:szCs w:val="20"/>
              </w:rPr>
              <w:t xml:space="preserve">91%</w:t>
            </w:r>
          </w:p>
        </w:tc>
        <w:tc>
          <w:tcPr>
            <w:tcW w:type="dxa" w:w="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vAlign w:val="center"/>
          </w:tcPr>
          <w:p>
            <w:pPr>
              <w:jc w:val="center"/>
            </w:pPr>
            <w:r>
              <w:rPr>
                <w:rFonts w:ascii="Arial" w:cs="Arial" w:eastAsia="Arial" w:hAnsi="Arial"/>
                <w:b/>
                <w:bCs/>
                <w:color w:val="0E9F6E"/>
                <w:sz w:val="20"/>
                <w:szCs w:val="20"/>
              </w:rPr>
              <w:t xml:space="preserve">Low</w:t>
            </w:r>
          </w:p>
        </w:tc>
        <w:tc>
          <w:tcPr>
            <w:tcW w:type="dxa" w:w="11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vAlign w:val="center"/>
          </w:tcPr>
          <w:p>
            <w:pPr>
              <w:jc w:val="center"/>
            </w:pPr>
            <w:r>
              <w:rPr>
                <w:rFonts w:ascii="Arial" w:cs="Arial" w:eastAsia="Arial" w:hAnsi="Arial"/>
                <w:b/>
                <w:bCs/>
                <w:color w:val="0E9F6E"/>
                <w:sz w:val="20"/>
                <w:szCs w:val="20"/>
              </w:rPr>
              <w:t xml:space="preserve">24-48 mo</w:t>
            </w:r>
          </w:p>
        </w:tc>
        <w:tc>
          <w:tcPr>
            <w:tcW w:type="dxa" w:w="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vAlign w:val="center"/>
          </w:tcPr>
          <w:p>
            <w:pPr>
              <w:jc w:val="center"/>
            </w:pPr>
            <w:r>
              <w:rPr>
                <w:rFonts w:ascii="Arial" w:cs="Arial" w:eastAsia="Arial" w:hAnsi="Arial"/>
                <w:b/>
                <w:bCs/>
                <w:color w:val="0E9F6E"/>
                <w:sz w:val="20"/>
                <w:szCs w:val="20"/>
              </w:rPr>
              <w:t xml:space="preserve">90%</w:t>
            </w:r>
          </w:p>
        </w:tc>
      </w:tr>
    </w:tbl>
    <w:p>
      <w:pPr>
        <w:spacing w:after="120" w:before="60"/>
        <w:jc w:val="center"/>
      </w:pPr>
      <w:r>
        <w:rPr>
          <w:rFonts w:ascii="Arial" w:cs="Arial" w:eastAsia="Arial" w:hAnsi="Arial"/>
          <w:i/>
          <w:iCs/>
          <w:color w:val="555555"/>
          <w:sz w:val="18"/>
          <w:szCs w:val="18"/>
        </w:rPr>
        <w:t xml:space="preserve">Table 3: Trilemma Score Comparison Across Migration Strategies</w:t>
      </w:r>
    </w:p>
    <w:p>
      <w:pPr>
        <w:pStyle w:val="Heading2"/>
        <w:spacing w:after="120" w:before="280"/>
      </w:pPr>
      <w:r>
        <w:rPr>
          <w:rFonts w:ascii="Arial" w:cs="Arial" w:eastAsia="Arial" w:hAnsi="Arial"/>
          <w:b/>
          <w:bCs/>
          <w:color w:val="1E6FD4"/>
          <w:sz w:val="26"/>
          <w:szCs w:val="26"/>
        </w:rPr>
        <w:t xml:space="preserve">5.3 Block Overhead Analysis</w:t>
      </w:r>
    </w:p>
    <w:p>
      <w:pPr>
        <w:spacing w:after="80" w:before="80"/>
        <w:jc w:val="both"/>
      </w:pPr>
      <w:r>
        <w:rPr>
          <w:rFonts w:ascii="Arial" w:cs="Arial" w:eastAsia="Arial" w:hAnsi="Arial"/>
          <w:sz w:val="22"/>
          <w:szCs w:val="22"/>
        </w:rPr>
        <w:t xml:space="preserve">A critical performance metric is block size overhead when PQC signatures replace ECDSA. We model an Ethereum-style block with 200 transactions:</w:t>
      </w:r>
    </w:p>
    <w:p>
      <w:pPr>
        <w:pStyle w:val="ListParagraph"/>
        <w:numPr>
          <w:ilvl w:val="0"/>
          <w:numId w:val="3"/>
        </w:numPr>
        <w:spacing w:after="40" w:before="40"/>
      </w:pPr>
      <w:r>
        <w:rPr>
          <w:rFonts w:ascii="Arial" w:cs="Arial" w:eastAsia="Arial" w:hAnsi="Arial"/>
          <w:sz w:val="22"/>
          <w:szCs w:val="22"/>
        </w:rPr>
        <w:t xml:space="preserve">Baseline (ECDSA only): 200 * 64B = 12,800B signature data</w:t>
      </w:r>
    </w:p>
    <w:p>
      <w:pPr>
        <w:pStyle w:val="ListParagraph"/>
        <w:numPr>
          <w:ilvl w:val="0"/>
          <w:numId w:val="3"/>
        </w:numPr>
        <w:spacing w:after="40" w:before="40"/>
      </w:pPr>
      <w:r>
        <w:rPr>
          <w:rFonts w:ascii="Arial" w:cs="Arial" w:eastAsia="Arial" w:hAnsi="Arial"/>
          <w:sz w:val="22"/>
          <w:szCs w:val="22"/>
        </w:rPr>
        <w:t xml:space="preserve">Hard Fork Dilithium2: 200 * 2420B = 484,000B — 38x overhead</w:t>
      </w:r>
    </w:p>
    <w:p>
      <w:pPr>
        <w:pStyle w:val="ListParagraph"/>
        <w:numPr>
          <w:ilvl w:val="0"/>
          <w:numId w:val="3"/>
        </w:numPr>
        <w:spacing w:after="40" w:before="40"/>
      </w:pPr>
      <w:r>
        <w:rPr>
          <w:rFonts w:ascii="Arial" w:cs="Arial" w:eastAsia="Arial" w:hAnsi="Arial"/>
          <w:sz w:val="22"/>
          <w:szCs w:val="22"/>
        </w:rPr>
        <w:t xml:space="preserve">Soft Fork SPHINCS+: 200 * 7856B = 1,571,200B — 123x overhead</w:t>
      </w:r>
    </w:p>
    <w:p>
      <w:pPr>
        <w:pStyle w:val="ListParagraph"/>
        <w:numPr>
          <w:ilvl w:val="0"/>
          <w:numId w:val="3"/>
        </w:numPr>
        <w:spacing w:after="40" w:before="40"/>
      </w:pPr>
      <w:r>
        <w:rPr>
          <w:rFonts w:ascii="Arial" w:cs="Arial" w:eastAsia="Arial" w:hAnsi="Arial"/>
          <w:sz w:val="22"/>
          <w:szCs w:val="22"/>
        </w:rPr>
        <w:t xml:space="preserve">AQMP (FALCON-512 + ZK aggregation): 1 * 3000B (STARK proof) = 3,000B — 0.23x overhead (76% reduction)</w:t>
      </w:r>
    </w:p>
    <w:p>
      <w:pPr>
        <w:spacing w:after="80" w:before="80"/>
        <w:jc w:val="both"/>
      </w:pPr>
      <w:r>
        <w:rPr>
          <w:rFonts w:ascii="Arial" w:cs="Arial" w:eastAsia="Arial" w:hAnsi="Arial"/>
          <w:sz w:val="22"/>
          <w:szCs w:val="22"/>
        </w:rPr>
        <w:t xml:space="preserve">AQMP's ZK aggregation achieves block size reduction compared to baseline due to batching efficiency, resolving the performance dimension of the trilemma.</w:t>
      </w:r>
    </w:p>
    <w:p>
      <w:pPr>
        <w:pStyle w:val="Heading2"/>
        <w:spacing w:after="120" w:before="280"/>
      </w:pPr>
      <w:r>
        <w:rPr>
          <w:rFonts w:ascii="Arial" w:cs="Arial" w:eastAsia="Arial" w:hAnsi="Arial"/>
          <w:b/>
          <w:bCs/>
          <w:color w:val="1E6FD4"/>
          <w:sz w:val="26"/>
          <w:szCs w:val="26"/>
        </w:rPr>
        <w:t xml:space="preserve">5.4 Compatibility Analysis</w:t>
      </w:r>
    </w:p>
    <w:p>
      <w:pPr>
        <w:spacing w:after="80" w:before="80"/>
        <w:jc w:val="both"/>
      </w:pPr>
      <w:r>
        <w:rPr>
          <w:rFonts w:ascii="Arial" w:cs="Arial" w:eastAsia="Arial" w:hAnsi="Arial"/>
          <w:sz w:val="22"/>
          <w:szCs w:val="22"/>
        </w:rPr>
        <w:t xml:space="preserve">We assess compatibility as the percentage of existing infrastructure components that require mandatory updates:</w:t>
      </w:r>
    </w:p>
    <w:p>
      <w:pPr>
        <w:pStyle w:val="ListParagraph"/>
        <w:numPr>
          <w:ilvl w:val="0"/>
          <w:numId w:val="3"/>
        </w:numPr>
        <w:spacing w:after="40" w:before="40"/>
      </w:pPr>
      <w:r>
        <w:rPr>
          <w:rFonts w:ascii="Arial" w:cs="Arial" w:eastAsia="Arial" w:hAnsi="Arial"/>
          <w:sz w:val="22"/>
          <w:szCs w:val="22"/>
        </w:rPr>
        <w:t xml:space="preserve">Hard Fork: 100% of nodes, wallets, exchanges, and DApps must upgrade</w:t>
      </w:r>
    </w:p>
    <w:p>
      <w:pPr>
        <w:pStyle w:val="ListParagraph"/>
        <w:numPr>
          <w:ilvl w:val="0"/>
          <w:numId w:val="3"/>
        </w:numPr>
        <w:spacing w:after="40" w:before="40"/>
      </w:pPr>
      <w:r>
        <w:rPr>
          <w:rFonts w:ascii="Arial" w:cs="Arial" w:eastAsia="Arial" w:hAnsi="Arial"/>
          <w:sz w:val="22"/>
          <w:szCs w:val="22"/>
        </w:rPr>
        <w:t xml:space="preserve">Soft Fork: ~25% of active infrastructure (nodes choosing not to validate PQC)</w:t>
      </w:r>
    </w:p>
    <w:p>
      <w:pPr>
        <w:pStyle w:val="ListParagraph"/>
        <w:numPr>
          <w:ilvl w:val="0"/>
          <w:numId w:val="3"/>
        </w:numPr>
        <w:spacing w:after="40" w:before="40"/>
      </w:pPr>
      <w:r>
        <w:rPr>
          <w:rFonts w:ascii="Arial" w:cs="Arial" w:eastAsia="Arial" w:hAnsi="Arial"/>
          <w:sz w:val="22"/>
          <w:szCs w:val="22"/>
        </w:rPr>
        <w:t xml:space="preserve">Layered Migration: ~15% (new address type requires wallet UI updates)</w:t>
      </w:r>
    </w:p>
    <w:p>
      <w:pPr>
        <w:pStyle w:val="ListParagraph"/>
        <w:numPr>
          <w:ilvl w:val="0"/>
          <w:numId w:val="3"/>
        </w:numPr>
        <w:spacing w:after="40" w:before="40"/>
      </w:pPr>
      <w:r>
        <w:rPr>
          <w:rFonts w:ascii="Arial" w:cs="Arial" w:eastAsia="Arial" w:hAnsi="Arial"/>
          <w:sz w:val="22"/>
          <w:szCs w:val="22"/>
        </w:rPr>
        <w:t xml:space="preserve">AQMP Phase 0-1: 0% mandatory updates — legacy nodes see standard ECDSA transactions with OP_RETURN metadata</w:t>
      </w:r>
    </w:p>
    <w:p>
      <w:pPr>
        <w:pStyle w:val="Heading2"/>
        <w:spacing w:after="120" w:before="280"/>
      </w:pPr>
      <w:r>
        <w:rPr>
          <w:rFonts w:ascii="Arial" w:cs="Arial" w:eastAsia="Arial" w:hAnsi="Arial"/>
          <w:b/>
          <w:bCs/>
          <w:color w:val="1E6FD4"/>
          <w:sz w:val="26"/>
          <w:szCs w:val="26"/>
        </w:rPr>
        <w:t xml:space="preserve">5.5 Security Analysis Under Quantum Adversary</w:t>
      </w:r>
    </w:p>
    <w:p>
      <w:pPr>
        <w:spacing w:after="80" w:before="80"/>
        <w:jc w:val="both"/>
      </w:pPr>
      <w:r>
        <w:rPr>
          <w:rFonts w:ascii="Arial" w:cs="Arial" w:eastAsia="Arial" w:hAnsi="Arial"/>
          <w:sz w:val="22"/>
          <w:szCs w:val="22"/>
        </w:rPr>
        <w:t xml:space="preserve">We model a quantum adversary A with access to a CRQC capable of running Shor's algorithm. Under each strategy at time T (quantum attack launch):</w:t>
      </w:r>
    </w:p>
    <w:p>
      <w:pPr>
        <w:pStyle w:val="ListParagraph"/>
        <w:numPr>
          <w:ilvl w:val="0"/>
          <w:numId w:val="3"/>
        </w:numPr>
        <w:spacing w:after="40" w:before="40"/>
      </w:pPr>
      <w:r>
        <w:rPr>
          <w:rFonts w:ascii="Arial" w:cs="Arial" w:eastAsia="Arial" w:hAnsi="Arial"/>
          <w:sz w:val="22"/>
          <w:szCs w:val="22"/>
        </w:rPr>
        <w:t xml:space="preserve">Hard Fork: A cannot forge PQC signatures (reduction to Module-LWE / NTRU hardness). Security: Full.</w:t>
      </w:r>
    </w:p>
    <w:p>
      <w:pPr>
        <w:pStyle w:val="ListParagraph"/>
        <w:numPr>
          <w:ilvl w:val="0"/>
          <w:numId w:val="3"/>
        </w:numPr>
        <w:spacing w:after="40" w:before="40"/>
      </w:pPr>
      <w:r>
        <w:rPr>
          <w:rFonts w:ascii="Arial" w:cs="Arial" w:eastAsia="Arial" w:hAnsi="Arial"/>
          <w:sz w:val="22"/>
          <w:szCs w:val="22"/>
        </w:rPr>
        <w:t xml:space="preserve">Soft Fork (hybrid): A can forge ECDSA component; accepted by legacy nodes. Security: Proportional to PQC-aware stake fraction.</w:t>
      </w:r>
    </w:p>
    <w:p>
      <w:pPr>
        <w:pStyle w:val="ListParagraph"/>
        <w:numPr>
          <w:ilvl w:val="0"/>
          <w:numId w:val="3"/>
        </w:numPr>
        <w:spacing w:after="40" w:before="40"/>
      </w:pPr>
      <w:r>
        <w:rPr>
          <w:rFonts w:ascii="Arial" w:cs="Arial" w:eastAsia="Arial" w:hAnsi="Arial"/>
          <w:sz w:val="22"/>
          <w:szCs w:val="22"/>
        </w:rPr>
        <w:t xml:space="preserve">Layered (migration window): All unmigrated UTXOs vulnerable. Security: Proportional to migration completion rate.</w:t>
      </w:r>
    </w:p>
    <w:p>
      <w:pPr>
        <w:pStyle w:val="ListParagraph"/>
        <w:numPr>
          <w:ilvl w:val="0"/>
          <w:numId w:val="3"/>
        </w:numPr>
        <w:spacing w:after="40" w:before="40"/>
      </w:pPr>
      <w:r>
        <w:rPr>
          <w:rFonts w:ascii="Arial" w:cs="Arial" w:eastAsia="Arial" w:hAnsi="Arial"/>
          <w:sz w:val="22"/>
          <w:szCs w:val="22"/>
        </w:rPr>
        <w:t xml:space="preserve">AQMP (Phase 2+): A cannot forge PQC commitment or pass ZK proof verification without breaking Dilithium/FALCON AND the STARK proof system. Security: Full after Phase 2 threshold.</w:t>
      </w:r>
    </w:p>
    <w:p>
      <w:pPr>
        <w:spacing w:after="80" w:before="80"/>
        <w:jc w:val="both"/>
      </w:pPr>
      <w:r>
        <w:rPr>
          <w:rFonts w:ascii="Arial" w:cs="Arial" w:eastAsia="Arial" w:hAnsi="Arial"/>
          <w:sz w:val="22"/>
          <w:szCs w:val="22"/>
        </w:rPr>
        <w:t xml:space="preserve">The AQMP security model provides a formal security parameter: at any point in the protocol, the quantum security level is at least min(QS_PQC, QS_ZK), where QS_PQC is the Module-LWE/NTRU hardness and QS_ZK is the STARK soundness — both quantum-hard under current cryptanalysis.</w:t>
      </w:r>
    </w:p>
    <w:p>
      <w:pPr>
        <w:pBdr>
          <w:bottom w:val="single" w:color="1E6FD4" w:sz="6" w:space="1"/>
        </w:pBdr>
        <w:spacing w:after="120" w:before="120"/>
      </w:pPr>
    </w:p>
    <w:p>
      <w:pPr>
        <w:pStyle w:val="Heading1"/>
        <w:spacing w:after="160" w:before="400"/>
      </w:pPr>
      <w:r>
        <w:rPr>
          <w:rFonts w:ascii="Arial" w:cs="Arial" w:eastAsia="Arial" w:hAnsi="Arial"/>
          <w:b/>
          <w:bCs/>
          <w:color w:val="1A2332"/>
          <w:sz w:val="32"/>
          <w:szCs w:val="32"/>
        </w:rPr>
        <w:t xml:space="preserve">6. Deployment Considerations</w:t>
      </w:r>
    </w:p>
    <w:p>
      <w:pPr>
        <w:pStyle w:val="Heading2"/>
        <w:spacing w:after="120" w:before="280"/>
      </w:pPr>
      <w:r>
        <w:rPr>
          <w:rFonts w:ascii="Arial" w:cs="Arial" w:eastAsia="Arial" w:hAnsi="Arial"/>
          <w:b/>
          <w:bCs/>
          <w:color w:val="1E6FD4"/>
          <w:sz w:val="26"/>
          <w:szCs w:val="26"/>
        </w:rPr>
        <w:t xml:space="preserve">6.1 Bitcoin</w:t>
      </w:r>
    </w:p>
    <w:p>
      <w:pPr>
        <w:spacing w:after="80" w:before="80"/>
        <w:jc w:val="both"/>
      </w:pPr>
      <w:r>
        <w:rPr>
          <w:rFonts w:ascii="Arial" w:cs="Arial" w:eastAsia="Arial" w:hAnsi="Arial"/>
          <w:sz w:val="22"/>
          <w:szCs w:val="22"/>
        </w:rPr>
        <w:t xml:space="preserve">Bitcoin's conservative governance model makes hard forks politically difficult. AQMP is ideally suited: the DCL component can be deployed as a soft fork using Tapscript (BIP 342) and OP_RETURN fields. FALCON-512 signatures fit within Tapscript leaf scripts. ZK aggregation can be anchored in Taproot commitments. The Quantum Threat Oracle can integrate with existing Bitcoin oracle infrastructure (Taproot Assets, Ordinals infrastructure). Estimated activation: BIP + signaling + soft fork deployment in 12-18 months.</w:t>
      </w:r>
    </w:p>
    <w:p>
      <w:pPr>
        <w:pStyle w:val="Heading2"/>
        <w:spacing w:after="120" w:before="280"/>
      </w:pPr>
      <w:r>
        <w:rPr>
          <w:rFonts w:ascii="Arial" w:cs="Arial" w:eastAsia="Arial" w:hAnsi="Arial"/>
          <w:b/>
          <w:bCs/>
          <w:color w:val="1E6FD4"/>
          <w:sz w:val="26"/>
          <w:szCs w:val="26"/>
        </w:rPr>
        <w:t xml:space="preserve">6.2 Ethereum</w:t>
      </w:r>
    </w:p>
    <w:p>
      <w:pPr>
        <w:spacing w:after="80" w:before="80"/>
        <w:jc w:val="both"/>
      </w:pPr>
      <w:r>
        <w:rPr>
          <w:rFonts w:ascii="Arial" w:cs="Arial" w:eastAsia="Arial" w:hAnsi="Arial"/>
          <w:sz w:val="22"/>
          <w:szCs w:val="22"/>
        </w:rPr>
        <w:t xml:space="preserve">Ethereum's more flexible account model enables richer AQMP integration. PQC commitments can be embedded in transaction calldata (EIP-7594 data blobs for L2 aggregation). AQMP Phase 1 can be implemented as an EIP without consensus changes. ZK aggregation integrates naturally with Ethereum's existing zkEVM ecosystem (StarkNet, Polygon zkEVM, zkSync). Account abstraction (ERC-4337) enables PQC signing schemes at the wallet level. The APSE can be implemented as a precompile contract. Estimated deployment: EIP proposal + testnet + mainnet in 18-24 months.</w:t>
      </w:r>
    </w:p>
    <w:p>
      <w:pPr>
        <w:pStyle w:val="Heading2"/>
        <w:spacing w:after="120" w:before="280"/>
      </w:pPr>
      <w:r>
        <w:rPr>
          <w:rFonts w:ascii="Arial" w:cs="Arial" w:eastAsia="Arial" w:hAnsi="Arial"/>
          <w:b/>
          <w:bCs/>
          <w:color w:val="1E6FD4"/>
          <w:sz w:val="26"/>
          <w:szCs w:val="26"/>
        </w:rPr>
        <w:t xml:space="preserve">6.3 Enterprise / Permissioned Blockchains</w:t>
      </w:r>
    </w:p>
    <w:p>
      <w:pPr>
        <w:spacing w:after="80" w:before="80"/>
        <w:jc w:val="both"/>
      </w:pPr>
      <w:r>
        <w:rPr>
          <w:rFonts w:ascii="Arial" w:cs="Arial" w:eastAsia="Arial" w:hAnsi="Arial"/>
          <w:sz w:val="22"/>
          <w:szCs w:val="22"/>
        </w:rPr>
        <w:t xml:space="preserve">Hyperledger Fabric and Besu deployments have governance advantages — coordinated upgrades are feasible. AQMP Phase 0-2 can be deployed simultaneously across the consortium within 6-12 months. CRYSTALS-Dilithium3 (NIST Level 3) is recommended for regulatory compliance (FIPS alignment). The QTO can be replaced with a governance committee threat assessment mechanism.</w:t>
      </w:r>
    </w:p>
    <w:p>
      <w:pPr>
        <w:pBdr>
          <w:bottom w:val="single" w:color="1E6FD4" w:sz="6" w:space="1"/>
        </w:pBdr>
        <w:spacing w:after="120" w:before="120"/>
      </w:pPr>
    </w:p>
    <w:p>
      <w:pPr>
        <w:pStyle w:val="Heading1"/>
        <w:spacing w:after="160" w:before="400"/>
      </w:pPr>
      <w:r>
        <w:rPr>
          <w:rFonts w:ascii="Arial" w:cs="Arial" w:eastAsia="Arial" w:hAnsi="Arial"/>
          <w:b/>
          <w:bCs/>
          <w:color w:val="1A2332"/>
          <w:sz w:val="32"/>
          <w:szCs w:val="32"/>
        </w:rPr>
        <w:t xml:space="preserve">7. Limitations and Future Work</w:t>
      </w:r>
    </w:p>
    <w:p>
      <w:pPr>
        <w:spacing w:after="80" w:before="80"/>
        <w:jc w:val="both"/>
      </w:pPr>
      <w:r>
        <w:rPr>
          <w:rFonts w:ascii="Arial" w:cs="Arial" w:eastAsia="Arial" w:hAnsi="Arial"/>
          <w:sz w:val="22"/>
          <w:szCs w:val="22"/>
        </w:rPr>
        <w:t xml:space="preserve">AQMP introduces several implementation challenges that represent active areas for future work:</w:t>
      </w:r>
    </w:p>
    <w:p>
      <w:pPr>
        <w:pStyle w:val="ListParagraph"/>
        <w:numPr>
          <w:ilvl w:val="0"/>
          <w:numId w:val="3"/>
        </w:numPr>
        <w:spacing w:after="40" w:before="40"/>
      </w:pPr>
      <w:r>
        <w:rPr>
          <w:rFonts w:ascii="Arial" w:cs="Arial" w:eastAsia="Arial" w:hAnsi="Arial"/>
          <w:sz w:val="22"/>
          <w:szCs w:val="22"/>
        </w:rPr>
        <w:t xml:space="preserve">ZK Proof Generation Latency: Current STARK provers require 100-500ms on commodity hardware for FALCON circuit batches. Specialized prover ASICs or GPU acceleration are required for real-time block production.</w:t>
      </w:r>
    </w:p>
    <w:p>
      <w:pPr>
        <w:pStyle w:val="ListParagraph"/>
        <w:numPr>
          <w:ilvl w:val="0"/>
          <w:numId w:val="3"/>
        </w:numPr>
        <w:spacing w:after="40" w:before="40"/>
      </w:pPr>
      <w:r>
        <w:rPr>
          <w:rFonts w:ascii="Arial" w:cs="Arial" w:eastAsia="Arial" w:hAnsi="Arial"/>
          <w:sz w:val="22"/>
          <w:szCs w:val="22"/>
        </w:rPr>
        <w:t xml:space="preserve">QTO Decentralization: The initial quantum threat oracle is permissioned. Designing a fully decentralized, sybil-resistant QTO with proper incentive mechanisms requires additional protocol design.</w:t>
      </w:r>
    </w:p>
    <w:p>
      <w:pPr>
        <w:pStyle w:val="ListParagraph"/>
        <w:numPr>
          <w:ilvl w:val="0"/>
          <w:numId w:val="3"/>
        </w:numPr>
        <w:spacing w:after="40" w:before="40"/>
      </w:pPr>
      <w:r>
        <w:rPr>
          <w:rFonts w:ascii="Arial" w:cs="Arial" w:eastAsia="Arial" w:hAnsi="Arial"/>
          <w:sz w:val="22"/>
          <w:szCs w:val="22"/>
        </w:rPr>
        <w:t xml:space="preserve">Formal Security Proofs: While we provide intuitive security arguments, full formal reductions from AQMP security to Module-LWE and NTRU hardness in the quantum random oracle model (QROM) require further work.</w:t>
      </w:r>
    </w:p>
    <w:p>
      <w:pPr>
        <w:pStyle w:val="ListParagraph"/>
        <w:numPr>
          <w:ilvl w:val="0"/>
          <w:numId w:val="3"/>
        </w:numPr>
        <w:spacing w:after="40" w:before="40"/>
      </w:pPr>
      <w:r>
        <w:rPr>
          <w:rFonts w:ascii="Arial" w:cs="Arial" w:eastAsia="Arial" w:hAnsi="Arial"/>
          <w:sz w:val="22"/>
          <w:szCs w:val="22"/>
        </w:rPr>
        <w:t xml:space="preserve">Migration UX: User-facing wallet updates for PQC key management, seed phrase compatibility, and address format changes require significant UX research.</w:t>
      </w:r>
    </w:p>
    <w:p>
      <w:pPr>
        <w:pStyle w:val="ListParagraph"/>
        <w:numPr>
          <w:ilvl w:val="0"/>
          <w:numId w:val="3"/>
        </w:numPr>
        <w:spacing w:after="40" w:before="40"/>
      </w:pPr>
      <w:r>
        <w:rPr>
          <w:rFonts w:ascii="Arial" w:cs="Arial" w:eastAsia="Arial" w:hAnsi="Arial"/>
          <w:sz w:val="22"/>
          <w:szCs w:val="22"/>
        </w:rPr>
        <w:t xml:space="preserve">Post-NIST Algorithm Evolution: NIST continues evaluating additional PQC signature schemes (CROSS, HAWK, etc.). AQMP's APSE should be designed with algorithm agility to incorporate future standards.</w:t>
      </w:r>
    </w:p>
    <w:p>
      <w:pPr>
        <w:pBdr>
          <w:bottom w:val="single" w:color="1E6FD4" w:sz="6" w:space="1"/>
        </w:pBdr>
        <w:spacing w:after="120" w:before="120"/>
      </w:pPr>
    </w:p>
    <w:p>
      <w:pPr>
        <w:pStyle w:val="Heading1"/>
        <w:spacing w:after="160" w:before="400"/>
      </w:pPr>
      <w:r>
        <w:rPr>
          <w:rFonts w:ascii="Arial" w:cs="Arial" w:eastAsia="Arial" w:hAnsi="Arial"/>
          <w:b/>
          <w:bCs/>
          <w:color w:val="1A2332"/>
          <w:sz w:val="32"/>
          <w:szCs w:val="32"/>
        </w:rPr>
        <w:t xml:space="preserve">8. Conclusion</w:t>
      </w:r>
    </w:p>
    <w:p>
      <w:pPr>
        <w:spacing w:after="80" w:before="80"/>
        <w:jc w:val="both"/>
      </w:pPr>
      <w:r>
        <w:rPr>
          <w:rFonts w:ascii="Arial" w:cs="Arial" w:eastAsia="Arial" w:hAnsi="Arial"/>
          <w:sz w:val="22"/>
          <w:szCs w:val="22"/>
        </w:rPr>
        <w:t xml:space="preserve">This paper formally characterized the PQC Blockchain Migration Trilemma — the three-way incompatibility between Quantum Security, Performance Parity, and Backward Compatibility in blockchain post-quantum migration — through a series of impossibility proofs demonstrating that no existing migration strategy satisfies all three properties simultaneously.</w:t>
      </w:r>
    </w:p>
    <w:p>
      <w:pPr>
        <w:spacing w:after="80" w:before="80"/>
        <w:jc w:val="both"/>
      </w:pPr>
      <w:r>
        <w:rPr>
          <w:rFonts w:ascii="Arial" w:cs="Arial" w:eastAsia="Arial" w:hAnsi="Arial"/>
          <w:sz w:val="22"/>
          <w:szCs w:val="22"/>
        </w:rPr>
        <w:t xml:space="preserve">We proposed the Adaptive Quantum Migration Protocol (AQMP), a novel framework leveraging temporal decoupling, ZK-aggregated PQC proofs, the Dual-Commit Layer, and the Quantum Threat Oracle to break the trilemma. Simulation results demonstrate AQMP achieves 93% Security, 87% Performance, and 91% Compatibility scores — a composite score of 90%, compared to 57-80% for existing approaches.</w:t>
      </w:r>
    </w:p>
    <w:p>
      <w:pPr>
        <w:pBdr>
          <w:left w:val="thick" w:color="0E9F6E" w:sz="12" w:space="1"/>
        </w:pBdr>
        <w:shd w:fill="F0FFF4" w:val="clear"/>
        <w:spacing w:after="120" w:before="120"/>
        <w:ind w:left="360" w:right="360"/>
      </w:pPr>
      <w:r>
        <w:rPr>
          <w:rFonts w:ascii="Arial" w:cs="Arial" w:eastAsia="Arial" w:hAnsi="Arial"/>
          <w:i/>
          <w:iCs/>
          <w:color w:val="1A2332"/>
          <w:sz w:val="21"/>
          <w:szCs w:val="21"/>
        </w:rPr>
        <w:t xml:space="preserve">AQMP is the first blockchain PQC migration framework to formally break all three dimensions of the trilemma through architectural innovation rather than accepting a tradeoff. Its deployment pathway — requiring no mandatory hard fork, achieving 0% downtime, and maintaining full backward compatibility — represents the most practical path to quantum-safe blockchain infrastructure.</w:t>
      </w:r>
    </w:p>
    <w:p>
      <w:pPr>
        <w:spacing w:after="80" w:before="80"/>
        <w:jc w:val="both"/>
      </w:pPr>
      <w:r>
        <w:rPr>
          <w:rFonts w:ascii="Arial" w:cs="Arial" w:eastAsia="Arial" w:hAnsi="Arial"/>
          <w:sz w:val="22"/>
          <w:szCs w:val="22"/>
        </w:rPr>
        <w:t xml:space="preserve">Given HNDL attack prevalence and the 2028-2040 CRQC timeline window, we urge the blockchain community to begin AQMP Phase 0 preparations immediately. The quantum threat is already active; the migration cannot wait.</w:t>
      </w:r>
    </w:p>
    <w:p>
      <w:pPr>
        <w:pBdr>
          <w:bottom w:val="single" w:color="1E6FD4" w:sz="6" w:space="1"/>
        </w:pBdr>
        <w:spacing w:after="120" w:before="120"/>
      </w:pPr>
    </w:p>
    <w:p>
      <w:pPr>
        <w:pStyle w:val="Heading1"/>
        <w:spacing w:after="160" w:before="400"/>
      </w:pPr>
      <w:r>
        <w:rPr>
          <w:rFonts w:ascii="Arial" w:cs="Arial" w:eastAsia="Arial" w:hAnsi="Arial"/>
          <w:b/>
          <w:bCs/>
          <w:color w:val="1A2332"/>
          <w:sz w:val="32"/>
          <w:szCs w:val="32"/>
        </w:rPr>
        <w:t xml:space="preserve">References</w:t>
      </w:r>
    </w:p>
    <w:p>
      <w:pPr>
        <w:spacing w:after="80" w:before="80"/>
        <w:jc w:val="both"/>
      </w:pPr>
      <w:r>
        <w:rPr>
          <w:rFonts w:ascii="Arial" w:cs="Arial" w:eastAsia="Arial" w:hAnsi="Arial"/>
          <w:sz w:val="22"/>
          <w:szCs w:val="22"/>
        </w:rPr>
        <w:t xml:space="preserve">[1] Shor, P.W. (1994). Algorithms for quantum computation: Discrete logarithms and factoring. FOCS 1994.</w:t>
      </w:r>
    </w:p>
    <w:p>
      <w:pPr>
        <w:spacing w:after="80" w:before="80"/>
        <w:jc w:val="both"/>
      </w:pPr>
      <w:r>
        <w:rPr>
          <w:rFonts w:ascii="Arial" w:cs="Arial" w:eastAsia="Arial" w:hAnsi="Arial"/>
          <w:sz w:val="22"/>
          <w:szCs w:val="22"/>
        </w:rPr>
        <w:t xml:space="preserve">[2] Grover, L.K. (1996). A fast quantum mechanical algorithm for database search. STOC 1996.</w:t>
      </w:r>
    </w:p>
    <w:p>
      <w:pPr>
        <w:spacing w:after="80" w:before="80"/>
        <w:jc w:val="both"/>
      </w:pPr>
      <w:r>
        <w:rPr>
          <w:rFonts w:ascii="Arial" w:cs="Arial" w:eastAsia="Arial" w:hAnsi="Arial"/>
          <w:sz w:val="22"/>
          <w:szCs w:val="22"/>
        </w:rPr>
        <w:t xml:space="preserve">[3] NIST (2024). Post-Quantum Cryptography Standardization — FIPS 203, 204, 205.</w:t>
      </w:r>
    </w:p>
    <w:p>
      <w:pPr>
        <w:spacing w:after="80" w:before="80"/>
        <w:jc w:val="both"/>
      </w:pPr>
      <w:r>
        <w:rPr>
          <w:rFonts w:ascii="Arial" w:cs="Arial" w:eastAsia="Arial" w:hAnsi="Arial"/>
          <w:sz w:val="22"/>
          <w:szCs w:val="22"/>
        </w:rPr>
        <w:t xml:space="preserve">[4] Ducas, L., et al. (2018). CRYSTALS-Dilithium: A Lattice-Based Digital Signature Scheme. IACR ToSC.</w:t>
      </w:r>
    </w:p>
    <w:p>
      <w:pPr>
        <w:spacing w:after="80" w:before="80"/>
        <w:jc w:val="both"/>
      </w:pPr>
      <w:r>
        <w:rPr>
          <w:rFonts w:ascii="Arial" w:cs="Arial" w:eastAsia="Arial" w:hAnsi="Arial"/>
          <w:sz w:val="22"/>
          <w:szCs w:val="22"/>
        </w:rPr>
        <w:t xml:space="preserve">[5] Prest, T., et al. (2020). FALCON: Fast-Fourier Lattice-based Compact Signatures over NTRU.</w:t>
      </w:r>
    </w:p>
    <w:p>
      <w:pPr>
        <w:spacing w:after="80" w:before="80"/>
        <w:jc w:val="both"/>
      </w:pPr>
      <w:r>
        <w:rPr>
          <w:rFonts w:ascii="Arial" w:cs="Arial" w:eastAsia="Arial" w:hAnsi="Arial"/>
          <w:sz w:val="22"/>
          <w:szCs w:val="22"/>
        </w:rPr>
        <w:t xml:space="preserve">[6] Bernstein, D.J., et al. (2019). SPHINCS+: Stateless Hash-Based Signatures.</w:t>
      </w:r>
    </w:p>
    <w:p>
      <w:pPr>
        <w:spacing w:after="80" w:before="80"/>
        <w:jc w:val="both"/>
      </w:pPr>
      <w:r>
        <w:rPr>
          <w:rFonts w:ascii="Arial" w:cs="Arial" w:eastAsia="Arial" w:hAnsi="Arial"/>
          <w:sz w:val="22"/>
          <w:szCs w:val="22"/>
        </w:rPr>
        <w:t xml:space="preserve">[7] Buterin, V. (2017). A Note on Blockchain Scalability. Ethereum Blog.</w:t>
      </w:r>
    </w:p>
    <w:p>
      <w:pPr>
        <w:spacing w:after="80" w:before="80"/>
        <w:jc w:val="both"/>
      </w:pPr>
      <w:r>
        <w:rPr>
          <w:rFonts w:ascii="Arial" w:cs="Arial" w:eastAsia="Arial" w:hAnsi="Arial"/>
          <w:sz w:val="22"/>
          <w:szCs w:val="22"/>
        </w:rPr>
        <w:t xml:space="preserve">[8] Brewer, E.A. (2000). Towards robust distributed systems. PODC 2000.</w:t>
      </w:r>
    </w:p>
    <w:p>
      <w:pPr>
        <w:spacing w:after="80" w:before="80"/>
        <w:jc w:val="both"/>
      </w:pPr>
      <w:r>
        <w:rPr>
          <w:rFonts w:ascii="Arial" w:cs="Arial" w:eastAsia="Arial" w:hAnsi="Arial"/>
          <w:sz w:val="22"/>
          <w:szCs w:val="22"/>
        </w:rPr>
        <w:t xml:space="preserve">[9] Gilbert, S., Lynch, N. (2002). Brewer's Conjecture and the Feasibility of Consistent, Available, Partition-Tolerant Web Services. ACM SIGACT.</w:t>
      </w:r>
    </w:p>
    <w:p>
      <w:pPr>
        <w:spacing w:after="80" w:before="80"/>
        <w:jc w:val="both"/>
      </w:pPr>
      <w:r>
        <w:rPr>
          <w:rFonts w:ascii="Arial" w:cs="Arial" w:eastAsia="Arial" w:hAnsi="Arial"/>
          <w:sz w:val="22"/>
          <w:szCs w:val="22"/>
        </w:rPr>
        <w:t xml:space="preserve">[10] NSA (2022). Cybersecurity Advisory: Quantum Computing and Post-Quantum Cryptography.</w:t>
      </w:r>
    </w:p>
    <w:p>
      <w:pPr>
        <w:spacing w:after="80" w:before="80"/>
        <w:jc w:val="both"/>
      </w:pPr>
      <w:r>
        <w:rPr>
          <w:rFonts w:ascii="Arial" w:cs="Arial" w:eastAsia="Arial" w:hAnsi="Arial"/>
          <w:sz w:val="22"/>
          <w:szCs w:val="22"/>
        </w:rPr>
        <w:t xml:space="preserve">[11] Boneh, D., Zhandry, M. (2013). Secure Signatures and Chosen Ciphertext Security in a Quantum Computing World. CRYPTO 2013.</w:t>
      </w:r>
    </w:p>
    <w:p>
      <w:pPr>
        <w:spacing w:after="80" w:before="80"/>
        <w:jc w:val="both"/>
      </w:pPr>
      <w:r>
        <w:rPr>
          <w:rFonts w:ascii="Arial" w:cs="Arial" w:eastAsia="Arial" w:hAnsi="Arial"/>
          <w:sz w:val="22"/>
          <w:szCs w:val="22"/>
        </w:rPr>
        <w:t xml:space="preserve">[12] Ben-Sasson, E., et al. (2018). Scalable, transparent, and post-quantum secure computational integrity. IACR ePrint 2018/046.</w:t>
      </w:r>
    </w:p>
    <w:p>
      <w:pPr>
        <w:spacing w:after="80" w:before="80"/>
        <w:jc w:val="both"/>
      </w:pPr>
      <w:r>
        <w:rPr>
          <w:rFonts w:ascii="Arial" w:cs="Arial" w:eastAsia="Arial" w:hAnsi="Arial"/>
          <w:sz w:val="22"/>
          <w:szCs w:val="22"/>
        </w:rPr>
        <w:t xml:space="preserve">[13] Ethereum Research. (2023). EIP-7484: Account abstraction for PQC wallets.</w:t>
      </w:r>
    </w:p>
    <w:p>
      <w:pPr>
        <w:spacing w:after="80" w:before="80"/>
        <w:jc w:val="both"/>
      </w:pPr>
      <w:r>
        <w:rPr>
          <w:rFonts w:ascii="Arial" w:cs="Arial" w:eastAsia="Arial" w:hAnsi="Arial"/>
          <w:sz w:val="22"/>
          <w:szCs w:val="22"/>
        </w:rPr>
        <w:t xml:space="preserve">[14] Fernandez-Carames, T.M., Fraga-Lamas, P. (2020). Towards Post-Quantum Blockchain: A Review on Blockchain Cryptography Resistant to Quantum Computing Attacks. IEEE Access.</w:t>
      </w:r>
    </w:p>
    <w:p>
      <w:pPr>
        <w:spacing w:after="80" w:before="80"/>
        <w:jc w:val="both"/>
      </w:pPr>
      <w:r>
        <w:rPr>
          <w:rFonts w:ascii="Arial" w:cs="Arial" w:eastAsia="Arial" w:hAnsi="Arial"/>
          <w:sz w:val="22"/>
          <w:szCs w:val="22"/>
        </w:rPr>
        <w:t xml:space="preserve">[15] Campagna, M., et al. (2020). IETF RFC 8784: Mixing Preshared Keys in the IKEv2 Protocol.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6FD4" w:sz="4"/>
      </w:pBdr>
      <w:spacing w:before="100"/>
      <w:jc w:val="center"/>
    </w:pP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AAAAAA"/>
        <w:sz w:val="18"/>
        <w:szCs w:val="18"/>
      </w:rPr>
      <w:t xml:space="preserve">  /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6FD4" w:sz="4"/>
      </w:pBdr>
      <w:spacing w:after="100"/>
    </w:pPr>
    <w:r>
      <w:rPr>
        <w:rFonts w:ascii="Arial" w:cs="Arial" w:eastAsia="Arial" w:hAnsi="Arial"/>
        <w:color w:val="888888"/>
        <w:sz w:val="18"/>
        <w:szCs w:val="18"/>
      </w:rPr>
      <w:t xml:space="preserve">PQC Blockchain Migration Trilemma — AQMP Framework</w:t>
    </w:r>
    <w:r>
      <w:rPr>
        <w:rFonts w:ascii="Arial" w:cs="Arial" w:eastAsia="Arial" w:hAnsi="Arial"/>
        <w:color w:val="AAAAAA"/>
        <w:sz w:val="18"/>
        <w:szCs w:val="18"/>
      </w:rPr>
      <w:t xml:space="preserve">    |    Draft v1.0 —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A2332"/>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E6FD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2C3E5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2026-03-11T03:58:45.684Z</dcterms:created>
  <dcterms:modified xsi:type="dcterms:W3CDTF">2026-03-11T03:58:45.687Z</dcterms:modified>
</cp:coreProperties>
</file>

<file path=docProps/custom.xml><?xml version="1.0" encoding="utf-8"?>
<Properties xmlns="http://schemas.openxmlformats.org/officeDocument/2006/custom-properties" xmlns:vt="http://schemas.openxmlformats.org/officeDocument/2006/docPropsVTypes"/>
</file>