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5DC0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</w:t>
      </w:r>
    </w:p>
    <w:p w14:paraId="50A71651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40A2F753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0D1FDA9B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46C57B82" w14:textId="77777777" w:rsidR="00DB57FC" w:rsidRDefault="00DB57FC" w:rsidP="00DB57FC">
      <w:pPr>
        <w:spacing w:after="160" w:line="278" w:lineRule="auto"/>
        <w:jc w:val="center"/>
        <w:rPr>
          <w:rFonts w:ascii="Arial" w:hAnsi="Arial" w:cs="Arial"/>
          <w:sz w:val="48"/>
          <w:szCs w:val="48"/>
        </w:rPr>
      </w:pPr>
    </w:p>
    <w:p w14:paraId="7468315B" w14:textId="204D0BAC" w:rsidR="00DB57FC" w:rsidRPr="00DB57FC" w:rsidRDefault="00DB57FC" w:rsidP="00DB57FC">
      <w:pPr>
        <w:spacing w:after="160" w:line="278" w:lineRule="auto"/>
        <w:jc w:val="center"/>
        <w:rPr>
          <w:rFonts w:ascii="Arial" w:hAnsi="Arial" w:cs="Arial"/>
          <w:sz w:val="48"/>
          <w:szCs w:val="48"/>
        </w:rPr>
      </w:pPr>
      <w:r w:rsidRPr="00DB57FC">
        <w:rPr>
          <w:rFonts w:ascii="Arial" w:hAnsi="Arial" w:cs="Arial"/>
          <w:sz w:val="48"/>
          <w:szCs w:val="48"/>
        </w:rPr>
        <w:t>State of Data Brasil</w:t>
      </w:r>
    </w:p>
    <w:p w14:paraId="72B07407" w14:textId="15412EB2" w:rsidR="00DB57FC" w:rsidRPr="00DB57FC" w:rsidRDefault="00DB57FC">
      <w:pPr>
        <w:spacing w:after="160" w:line="278" w:lineRule="auto"/>
        <w:rPr>
          <w:rFonts w:ascii="Arial" w:hAnsi="Arial" w:cs="Arial"/>
        </w:rPr>
      </w:pPr>
      <w:r w:rsidRPr="00DB57FC">
        <w:rPr>
          <w:rFonts w:ascii="Arial" w:hAnsi="Arial" w:cs="Arial"/>
        </w:rPr>
        <w:t xml:space="preserve">                  </w:t>
      </w:r>
      <w:r>
        <w:rPr>
          <w:rFonts w:ascii="Arial" w:hAnsi="Arial" w:cs="Arial"/>
        </w:rPr>
        <w:t xml:space="preserve">                        </w:t>
      </w:r>
      <w:r w:rsidRPr="00DB57FC">
        <w:rPr>
          <w:rFonts w:ascii="Arial" w:hAnsi="Arial" w:cs="Arial"/>
        </w:rPr>
        <w:t xml:space="preserve"> </w:t>
      </w:r>
      <w:r w:rsidR="00A26949">
        <w:rPr>
          <w:rFonts w:ascii="Arial" w:hAnsi="Arial" w:cs="Arial"/>
        </w:rPr>
        <w:t>S</w:t>
      </w:r>
      <w:r w:rsidRPr="00DB57FC">
        <w:rPr>
          <w:rFonts w:ascii="Arial" w:hAnsi="Arial" w:cs="Arial"/>
        </w:rPr>
        <w:t>olução de Engenharia de Dados e Analytics</w:t>
      </w:r>
    </w:p>
    <w:p w14:paraId="62AB2799" w14:textId="370B26AF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</w:t>
      </w:r>
      <w:r w:rsidR="00DD4749">
        <w:rPr>
          <w:rFonts w:ascii="Arial" w:hAnsi="Arial" w:cs="Arial"/>
          <w:sz w:val="32"/>
          <w:szCs w:val="32"/>
        </w:rPr>
        <w:t xml:space="preserve">   </w:t>
      </w:r>
      <w:r w:rsidR="00DD4749" w:rsidRPr="00DD4749">
        <w:rPr>
          <w:rFonts w:ascii="Arial" w:hAnsi="Arial" w:cs="Arial"/>
        </w:rPr>
        <w:t xml:space="preserve">Tech Challenge — Fase </w:t>
      </w:r>
      <w:r w:rsidR="00DD4749">
        <w:rPr>
          <w:rFonts w:ascii="Arial" w:hAnsi="Arial" w:cs="Arial"/>
        </w:rPr>
        <w:t>3</w:t>
      </w:r>
    </w:p>
    <w:p w14:paraId="0DCE5B42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6480E453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64998A18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3281D511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22126322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476E381E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3DFB3044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4BBEAB7E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0006EC31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1E9BD844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17B21B25" w14:textId="77777777" w:rsidR="00DB57FC" w:rsidRDefault="00DB57FC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2F1E0764" w14:textId="00A90CC7" w:rsidR="00DD4749" w:rsidRPr="00DD4749" w:rsidRDefault="00DD4749" w:rsidP="00DD4749">
      <w:pPr>
        <w:spacing w:after="160" w:line="278" w:lineRule="auto"/>
        <w:jc w:val="both"/>
        <w:rPr>
          <w:rFonts w:ascii="Arial" w:hAnsi="Arial" w:cs="Arial"/>
        </w:rPr>
      </w:pPr>
      <w:r w:rsidRPr="00DD4749">
        <w:rPr>
          <w:rFonts w:ascii="Arial" w:hAnsi="Arial" w:cs="Arial"/>
        </w:rPr>
        <w:t xml:space="preserve">                                                       </w:t>
      </w:r>
      <w:r>
        <w:rPr>
          <w:rFonts w:ascii="Arial" w:hAnsi="Arial" w:cs="Arial"/>
        </w:rPr>
        <w:t xml:space="preserve">                         </w:t>
      </w:r>
      <w:r w:rsidRPr="00DD4749">
        <w:rPr>
          <w:rFonts w:ascii="Arial" w:hAnsi="Arial" w:cs="Arial"/>
        </w:rPr>
        <w:t>Elaine Hernandes</w:t>
      </w:r>
    </w:p>
    <w:p w14:paraId="2E0E51A9" w14:textId="71D5908B" w:rsidR="00DD4749" w:rsidRPr="00DD4749" w:rsidRDefault="00DD4749" w:rsidP="00DD4749">
      <w:pPr>
        <w:spacing w:after="160" w:line="278" w:lineRule="auto"/>
        <w:jc w:val="both"/>
        <w:rPr>
          <w:rFonts w:ascii="Arial" w:hAnsi="Arial" w:cs="Arial"/>
        </w:rPr>
      </w:pPr>
      <w:r w:rsidRPr="00DD4749">
        <w:rPr>
          <w:rFonts w:ascii="Arial" w:hAnsi="Arial" w:cs="Arial"/>
        </w:rPr>
        <w:t xml:space="preserve">                                                                                Isabela Bersan Mariano Pádua</w:t>
      </w:r>
    </w:p>
    <w:p w14:paraId="765F7B0F" w14:textId="7DEE2669" w:rsidR="00DD4749" w:rsidRPr="00DD4749" w:rsidRDefault="00DD4749" w:rsidP="00DD4749">
      <w:pPr>
        <w:spacing w:after="160" w:line="278" w:lineRule="auto"/>
        <w:jc w:val="both"/>
        <w:rPr>
          <w:rFonts w:ascii="Arial" w:hAnsi="Arial" w:cs="Arial"/>
        </w:rPr>
      </w:pPr>
      <w:r w:rsidRPr="00DD4749">
        <w:rPr>
          <w:rFonts w:ascii="Arial" w:hAnsi="Arial" w:cs="Arial"/>
        </w:rPr>
        <w:t xml:space="preserve">                                                       </w:t>
      </w:r>
      <w:r>
        <w:rPr>
          <w:rFonts w:ascii="Arial" w:hAnsi="Arial" w:cs="Arial"/>
        </w:rPr>
        <w:t xml:space="preserve">                         </w:t>
      </w:r>
      <w:r w:rsidRPr="00DD4749">
        <w:rPr>
          <w:rFonts w:ascii="Arial" w:hAnsi="Arial" w:cs="Arial"/>
        </w:rPr>
        <w:t>Laura Garcias Barreto Soares dos Santos</w:t>
      </w:r>
    </w:p>
    <w:p w14:paraId="38E7580D" w14:textId="468DC3E1" w:rsidR="00DD4749" w:rsidRDefault="00DD4749" w:rsidP="00DD4749">
      <w:pPr>
        <w:spacing w:after="160" w:line="278" w:lineRule="auto"/>
        <w:jc w:val="both"/>
        <w:rPr>
          <w:rFonts w:ascii="Arial" w:hAnsi="Arial" w:cs="Arial"/>
        </w:rPr>
      </w:pPr>
      <w:r w:rsidRPr="00DD4749">
        <w:rPr>
          <w:rFonts w:ascii="Arial" w:hAnsi="Arial" w:cs="Arial"/>
        </w:rPr>
        <w:t xml:space="preserve">                                                                                </w:t>
      </w:r>
      <w:r w:rsidRPr="00DD4749">
        <w:rPr>
          <w:rFonts w:ascii="Arial" w:hAnsi="Arial" w:cs="Arial"/>
        </w:rPr>
        <w:t>Lidiany Christiany da Silva</w:t>
      </w:r>
      <w:r w:rsidRPr="00DD4749">
        <w:rPr>
          <w:rFonts w:ascii="Arial" w:hAnsi="Arial" w:cs="Arial"/>
        </w:rPr>
        <w:t xml:space="preserve">     </w:t>
      </w:r>
    </w:p>
    <w:p w14:paraId="3595995D" w14:textId="77777777" w:rsidR="00DD4749" w:rsidRDefault="00DD4749" w:rsidP="00DD4749">
      <w:pPr>
        <w:spacing w:after="160" w:line="278" w:lineRule="auto"/>
        <w:jc w:val="both"/>
        <w:rPr>
          <w:rFonts w:ascii="Arial" w:hAnsi="Arial" w:cs="Arial"/>
        </w:rPr>
      </w:pPr>
    </w:p>
    <w:p w14:paraId="1603B59F" w14:textId="37711AD4" w:rsidR="00DD4749" w:rsidRPr="00DD4749" w:rsidRDefault="00DD4749" w:rsidP="00DD4749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88981F1" w14:textId="462FAC7F" w:rsidR="0022513B" w:rsidRPr="00A26949" w:rsidRDefault="00DD4749" w:rsidP="00A26949">
      <w:pPr>
        <w:jc w:val="center"/>
        <w:rPr>
          <w:rFonts w:ascii="Arial" w:hAnsi="Arial" w:cs="Arial"/>
        </w:rPr>
      </w:pPr>
      <w:r w:rsidRPr="00DD4749">
        <w:rPr>
          <w:rFonts w:ascii="Arial" w:hAnsi="Arial" w:cs="Arial"/>
          <w:b/>
          <w:bCs/>
        </w:rPr>
        <w:t>Outubro/2026</w:t>
      </w:r>
      <w:r w:rsidR="0022513B">
        <w:rPr>
          <w:rFonts w:ascii="Arial" w:hAnsi="Arial" w:cs="Arial"/>
          <w:sz w:val="32"/>
          <w:szCs w:val="32"/>
        </w:rPr>
        <w:br w:type="page"/>
      </w:r>
    </w:p>
    <w:sdt>
      <w:sdtPr>
        <w:id w:val="973713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C3AFBD" w14:textId="4CCDA259" w:rsidR="0022513B" w:rsidRPr="0022513B" w:rsidRDefault="0022513B" w:rsidP="0022513B">
          <w:pPr>
            <w:spacing w:after="160" w:line="278" w:lineRule="auto"/>
            <w:rPr>
              <w:rFonts w:ascii="Arial" w:hAnsi="Arial" w:cs="Arial"/>
              <w:b/>
              <w:bCs/>
              <w:sz w:val="32"/>
              <w:szCs w:val="32"/>
            </w:rPr>
          </w:pPr>
          <w:r w:rsidRPr="0022513B">
            <w:rPr>
              <w:rFonts w:ascii="Arial" w:hAnsi="Arial" w:cs="Arial"/>
              <w:b/>
              <w:bCs/>
              <w:sz w:val="32"/>
              <w:szCs w:val="32"/>
            </w:rPr>
            <w:t>Sumário</w:t>
          </w:r>
        </w:p>
        <w:p w14:paraId="3B5472F2" w14:textId="506AB805" w:rsidR="00A26949" w:rsidRDefault="0022513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2513B">
            <w:rPr>
              <w:rFonts w:ascii="Arial" w:hAnsi="Arial" w:cs="Arial"/>
              <w:sz w:val="24"/>
              <w:szCs w:val="24"/>
            </w:rPr>
            <w:fldChar w:fldCharType="begin"/>
          </w:r>
          <w:r w:rsidRPr="0022513B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2513B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43936766" w:history="1">
            <w:r w:rsidR="00A26949" w:rsidRPr="00097D2C">
              <w:rPr>
                <w:rStyle w:val="Hyperlink"/>
                <w:rFonts w:ascii="Arial" w:hAnsi="Arial" w:cs="Arial"/>
                <w:noProof/>
              </w:rPr>
              <w:t xml:space="preserve">1. </w:t>
            </w:r>
            <w:r w:rsidR="00A26949"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Sumário executivo</w:t>
            </w:r>
            <w:r w:rsidR="00A26949">
              <w:rPr>
                <w:noProof/>
                <w:webHidden/>
              </w:rPr>
              <w:tab/>
            </w:r>
            <w:r w:rsidR="00A26949">
              <w:rPr>
                <w:noProof/>
                <w:webHidden/>
              </w:rPr>
              <w:fldChar w:fldCharType="begin"/>
            </w:r>
            <w:r w:rsidR="00A26949">
              <w:rPr>
                <w:noProof/>
                <w:webHidden/>
              </w:rPr>
              <w:instrText xml:space="preserve"> PAGEREF _Toc243936766 \h </w:instrText>
            </w:r>
            <w:r w:rsidR="00A26949">
              <w:rPr>
                <w:noProof/>
                <w:webHidden/>
              </w:rPr>
            </w:r>
            <w:r w:rsidR="00A26949">
              <w:rPr>
                <w:noProof/>
                <w:webHidden/>
              </w:rPr>
              <w:fldChar w:fldCharType="separate"/>
            </w:r>
            <w:r w:rsidR="00A26949">
              <w:rPr>
                <w:noProof/>
                <w:webHidden/>
              </w:rPr>
              <w:t>2</w:t>
            </w:r>
            <w:r w:rsidR="00A26949">
              <w:rPr>
                <w:noProof/>
                <w:webHidden/>
              </w:rPr>
              <w:fldChar w:fldCharType="end"/>
            </w:r>
          </w:hyperlink>
        </w:p>
        <w:p w14:paraId="31CA7F83" w14:textId="2C96C75D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67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1.1 Principais achados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9703" w14:textId="38E0BCDC" w:rsidR="00A26949" w:rsidRDefault="00A2694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68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2. Contexto e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2070" w14:textId="1E25FE40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69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2.1 Como ler os números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3412" w14:textId="7B0B2793" w:rsidR="00A26949" w:rsidRDefault="00A2694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0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3. Arquitetura e método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F3FAC" w14:textId="1BE7054D" w:rsidR="00A26949" w:rsidRDefault="00A2694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1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 Análises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9EF8" w14:textId="3ED19AA8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2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4.1 Como está estruturado o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891B" w14:textId="1254A9A3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3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4.2 Quais perfis são mais valorizados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91B2" w14:textId="78E08F1B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4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4.3 Diversidade de gênero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3F0B" w14:textId="580FC8AF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5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4.4 Tecnologias com maior adoção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59B1" w14:textId="4ACA650C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6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4.5 Adoção de IA e seu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BCD31" w14:textId="1C4B93CA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7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4.6 Regiões, senioridades e modelos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AE3C" w14:textId="0B40838B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8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4.7 Oportunidades e desafios para investir em dados 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210C" w14:textId="2679E918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79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4.8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7664" w14:textId="6A358F20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80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4.9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BA89" w14:textId="321B3712" w:rsidR="00A26949" w:rsidRDefault="00A2694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81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5. Informes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FC4E" w14:textId="35F2AC61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82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5.1 Pipeline 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EA58" w14:textId="598AFE5B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83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5.2 Como os gráficos foram gerados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F9AD" w14:textId="5125747C" w:rsidR="00A26949" w:rsidRDefault="00A2694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84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5.3 Decisões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352C" w14:textId="077E7136" w:rsidR="00A26949" w:rsidRDefault="00A2694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85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6. Limitações e verificação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A8BDD" w14:textId="136B1746" w:rsidR="00A26949" w:rsidRDefault="00A2694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6786" w:history="1">
            <w:r w:rsidRPr="00097D2C">
              <w:rPr>
                <w:rStyle w:val="Hyperlink"/>
                <w:rFonts w:ascii="Arial" w:hAnsi="Arial" w:cs="Arial"/>
                <w:b/>
                <w:bCs/>
                <w:noProof/>
              </w:rPr>
              <w:t>7.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994DD" w14:textId="4EB45D93" w:rsidR="0022513B" w:rsidRDefault="0022513B">
          <w:r w:rsidRPr="0022513B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745DB8E2" w14:textId="77777777" w:rsidR="0022513B" w:rsidRDefault="0022513B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477D94B4" w14:textId="77777777" w:rsidR="0022513B" w:rsidRDefault="0022513B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241BB6DC" w14:textId="77777777" w:rsidR="0022513B" w:rsidRDefault="0022513B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5E73DA5A" w14:textId="77777777" w:rsidR="0022513B" w:rsidRDefault="0022513B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330B6531" w14:textId="77777777" w:rsidR="0022513B" w:rsidRDefault="0022513B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49DCD865" w14:textId="77777777" w:rsidR="0022513B" w:rsidRDefault="0022513B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4F43638D" w14:textId="77777777" w:rsidR="0022513B" w:rsidRDefault="0022513B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</w:p>
    <w:p w14:paraId="7C76E298" w14:textId="38667FD8" w:rsidR="00DB57FC" w:rsidRPr="0022513B" w:rsidRDefault="00DD4749" w:rsidP="0022513B">
      <w:pPr>
        <w:spacing w:after="160" w:line="278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</w:t>
      </w:r>
      <w:r w:rsidR="00DB57FC">
        <w:rPr>
          <w:rFonts w:ascii="Arial" w:hAnsi="Arial" w:cs="Arial"/>
          <w:sz w:val="32"/>
          <w:szCs w:val="32"/>
        </w:rPr>
        <w:t xml:space="preserve">                                                       </w:t>
      </w:r>
    </w:p>
    <w:p w14:paraId="768EB42D" w14:textId="6586834E" w:rsidR="00231363" w:rsidRPr="00956A22" w:rsidRDefault="00231363" w:rsidP="00231363">
      <w:pPr>
        <w:pStyle w:val="Ttulo1"/>
        <w:rPr>
          <w:rFonts w:ascii="Arial" w:hAnsi="Arial" w:cs="Arial"/>
          <w:color w:val="auto"/>
        </w:rPr>
      </w:pPr>
      <w:bookmarkStart w:id="0" w:name="_Toc243936766"/>
      <w:r w:rsidRPr="00956A22">
        <w:rPr>
          <w:rFonts w:ascii="Arial" w:eastAsia="Calibri" w:hAnsi="Arial" w:cs="Arial"/>
          <w:color w:val="auto"/>
          <w:sz w:val="32"/>
          <w:szCs w:val="32"/>
        </w:rPr>
        <w:lastRenderedPageBreak/>
        <w:t xml:space="preserve">1. </w:t>
      </w:r>
      <w:r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Sumário executivo</w:t>
      </w:r>
      <w:bookmarkEnd w:id="0"/>
    </w:p>
    <w:p w14:paraId="1BB0B590" w14:textId="059D217F" w:rsidR="00231363" w:rsidRPr="00DB57FC" w:rsidRDefault="00231363" w:rsidP="00DB57FC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 mercado brasileiro de dados paga mais a cada edição da pesquisa, está mais sênior e já usa IA de forma quase universal. O que ainda não amadureceu é a entrega de IA em escala nas empresas, a equidade de gênero e a retenção de talentos. Para uma instituição financeira, esses três pontos definem onde investir.</w:t>
      </w:r>
    </w:p>
    <w:p w14:paraId="65320FE8" w14:textId="6C2CD93A" w:rsidR="00231363" w:rsidRPr="00A26949" w:rsidRDefault="00A26949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" w:name="_Toc243936767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1.1 </w:t>
      </w:r>
      <w:r w:rsidR="00231363"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Principais achados</w:t>
      </w:r>
      <w:bookmarkEnd w:id="1"/>
    </w:p>
    <w:p w14:paraId="4C9912C5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Salários em alta. A média estimada subiu de R$ 10,4 mil (2023) para R$ 13,1 mil (2025). A fatia acima de R$ 20 mil foi de 10,1% para 17,9%.</w:t>
      </w:r>
    </w:p>
    <w:p w14:paraId="2771E117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IA e engenharia lideram a remuneração. Engenharia de ML/IA ganha R$ 18,6 mil, com alta de 19% em um ano. Gestão chega a R$ 19,8 mil.</w:t>
      </w:r>
    </w:p>
    <w:p w14:paraId="56D4FACF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Gênero. Mulheres são 22,0% da amostra em 2025 (24,4% em 2023) e ganham cerca de 18% menos que os homens. Entre Seniores a diferença passou de −10,9% para −18,6%.</w:t>
      </w:r>
    </w:p>
    <w:p w14:paraId="43A6ADAB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IA é rotina individual, mas não corporativa. 98,2% usam IA no trabalho e 42,3% têm ferramenta paga pela empresa, mas só 26,5% dos gestores têm projetos de IA generativa em produção com resultado.</w:t>
      </w:r>
    </w:p>
    <w:p w14:paraId="6C61441F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Flexibilidade pesa mais que região. A satisfação no presencial integral é 54,3%, contra 74,6% no remoto; 92,9% dos remotos procurariam outro emprego se a presença integral fosse exigida.</w:t>
      </w:r>
    </w:p>
    <w:p w14:paraId="6A7F52A5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Setor financeiro. Em 2025 paga R$ 14.445 contra R$ 12.743 dos demais setores (+13,4%) e tem satisfação cerca de 8 pontos maior. Em 2024 essa vantagem salarial não existia (−1,5%).</w:t>
      </w:r>
    </w:p>
    <w:p w14:paraId="319267AC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 que propomos. A Seção 6 detalha uma proposta em cinco frentes: remuneração e carreira, flexibilidade de trabalho, equidade, IA em produção e plataforma de dados. A Seção 7 traz os informes técnicos do pipeline e da geração dos gráficos.</w:t>
      </w:r>
    </w:p>
    <w:p w14:paraId="58A00242" w14:textId="77777777" w:rsidR="00231363" w:rsidRPr="00A26949" w:rsidRDefault="00231363" w:rsidP="00231363">
      <w:pPr>
        <w:pStyle w:val="Ttulo1"/>
        <w:rPr>
          <w:rFonts w:ascii="Arial" w:hAnsi="Arial" w:cs="Arial"/>
          <w:b/>
          <w:bCs/>
          <w:color w:val="auto"/>
        </w:rPr>
      </w:pPr>
      <w:bookmarkStart w:id="2" w:name="_Toc243936768"/>
      <w:r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2. Contexto e base de dados</w:t>
      </w:r>
      <w:bookmarkEnd w:id="2"/>
    </w:p>
    <w:p w14:paraId="0D83707A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A análise usa as três últimas edições da pesquisa State </w:t>
      </w:r>
      <w:proofErr w:type="spellStart"/>
      <w:r w:rsidRPr="00956A22">
        <w:rPr>
          <w:rFonts w:ascii="Arial" w:hAnsi="Arial" w:cs="Arial"/>
        </w:rPr>
        <w:t>of</w:t>
      </w:r>
      <w:proofErr w:type="spellEnd"/>
      <w:r w:rsidRPr="00956A22">
        <w:rPr>
          <w:rFonts w:ascii="Arial" w:hAnsi="Arial" w:cs="Arial"/>
        </w:rPr>
        <w:t xml:space="preserve"> Data Brasil, da Data Hackers. Os dados foram tratados em um pipeline na AWS e consultados nas tabelas da camada Gold.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231363" w:rsidRPr="00956A22" w14:paraId="7EEBC529" w14:textId="77777777" w:rsidTr="00D861EB">
        <w:trPr>
          <w:cantSplit/>
          <w:tblHeader/>
        </w:trPr>
        <w:tc>
          <w:tcPr>
            <w:tcW w:w="3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EAB4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Edição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D63B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Ano de coleta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626D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Respondentes</w:t>
            </w:r>
          </w:p>
        </w:tc>
      </w:tr>
      <w:tr w:rsidR="00231363" w:rsidRPr="00956A22" w14:paraId="7DEA7ED3" w14:textId="77777777" w:rsidTr="00D861EB">
        <w:trPr>
          <w:cantSplit/>
        </w:trPr>
        <w:tc>
          <w:tcPr>
            <w:tcW w:w="3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7C0AA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2023-2024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6FC8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2023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24E1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5.293</w:t>
            </w:r>
          </w:p>
        </w:tc>
      </w:tr>
      <w:tr w:rsidR="00231363" w:rsidRPr="00956A22" w14:paraId="07649523" w14:textId="77777777" w:rsidTr="00D861EB">
        <w:trPr>
          <w:cantSplit/>
        </w:trPr>
        <w:tc>
          <w:tcPr>
            <w:tcW w:w="3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66E1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2024-2025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793E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2024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1569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5.215</w:t>
            </w:r>
          </w:p>
        </w:tc>
      </w:tr>
      <w:tr w:rsidR="00231363" w:rsidRPr="00956A22" w14:paraId="13B8C59B" w14:textId="77777777" w:rsidTr="00D861EB">
        <w:trPr>
          <w:cantSplit/>
        </w:trPr>
        <w:tc>
          <w:tcPr>
            <w:tcW w:w="3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A19D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2025-2026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EE4F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2025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29B9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3.494</w:t>
            </w:r>
          </w:p>
        </w:tc>
      </w:tr>
      <w:tr w:rsidR="00231363" w:rsidRPr="00956A22" w14:paraId="7712FD94" w14:textId="77777777" w:rsidTr="00D861EB">
        <w:trPr>
          <w:cantSplit/>
        </w:trPr>
        <w:tc>
          <w:tcPr>
            <w:tcW w:w="3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1908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2F80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285C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14.002</w:t>
            </w:r>
          </w:p>
        </w:tc>
      </w:tr>
    </w:tbl>
    <w:p w14:paraId="2E971240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74A3E1E9" w14:textId="13B013BF" w:rsidR="00231363" w:rsidRPr="00A26949" w:rsidRDefault="00A26949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3" w:name="_Toc243936769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2.1 </w:t>
      </w:r>
      <w:r w:rsidR="00231363"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Como ler os números</w:t>
      </w:r>
      <w:bookmarkEnd w:id="3"/>
    </w:p>
    <w:p w14:paraId="4E1E9E7B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Salário é estimado pelo ponto médio da faixa salarial informada, em reais por mês, em valores nominais.</w:t>
      </w:r>
    </w:p>
    <w:p w14:paraId="07B2B1D3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Percentuais usam como base quem respondeu à pergunta; nos de nível, região, modelo de trabalho e satisfação, “Não informado” fica de fora. Perguntas de múltipla escolha não somam 100%.</w:t>
      </w:r>
    </w:p>
    <w:p w14:paraId="6D5C96A9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Comparações entre grupos usam só grupos com 30 ou mais pessoas, salvo quando o texto indica o tamanho da amostra.</w:t>
      </w:r>
    </w:p>
    <w:p w14:paraId="140CB547" w14:textId="77777777" w:rsidR="00231363" w:rsidRPr="00956A22" w:rsidRDefault="00231363" w:rsidP="00231363">
      <w:pPr>
        <w:rPr>
          <w:rFonts w:ascii="Arial" w:hAnsi="Arial" w:cs="Arial"/>
        </w:rPr>
        <w:sectPr w:rsidR="00231363" w:rsidRPr="00956A22" w:rsidSect="00231363"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6931D37" w14:textId="77777777" w:rsidR="00231363" w:rsidRPr="00A26949" w:rsidRDefault="00231363" w:rsidP="00231363">
      <w:pPr>
        <w:pStyle w:val="Ttulo1"/>
        <w:rPr>
          <w:rFonts w:ascii="Arial" w:hAnsi="Arial" w:cs="Arial"/>
          <w:b/>
          <w:bCs/>
          <w:color w:val="auto"/>
        </w:rPr>
      </w:pPr>
      <w:bookmarkStart w:id="4" w:name="_Toc243936770"/>
      <w:r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lastRenderedPageBreak/>
        <w:t>3. Arquitetura e método</w:t>
      </w:r>
      <w:bookmarkEnd w:id="4"/>
    </w:p>
    <w:p w14:paraId="14D49835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Os </w:t>
      </w:r>
      <w:proofErr w:type="spellStart"/>
      <w:r w:rsidRPr="00956A22">
        <w:rPr>
          <w:rFonts w:ascii="Arial" w:hAnsi="Arial" w:cs="Arial"/>
        </w:rPr>
        <w:t>CSVs</w:t>
      </w:r>
      <w:proofErr w:type="spellEnd"/>
      <w:r w:rsidRPr="00956A22">
        <w:rPr>
          <w:rFonts w:ascii="Arial" w:hAnsi="Arial" w:cs="Arial"/>
        </w:rPr>
        <w:t xml:space="preserve"> das três edições foram enviados ao </w:t>
      </w:r>
      <w:proofErr w:type="spellStart"/>
      <w:r w:rsidRPr="00956A22">
        <w:rPr>
          <w:rFonts w:ascii="Arial" w:hAnsi="Arial" w:cs="Arial"/>
        </w:rPr>
        <w:t>Amazon</w:t>
      </w:r>
      <w:proofErr w:type="spellEnd"/>
      <w:r w:rsidRPr="00956A22">
        <w:rPr>
          <w:rFonts w:ascii="Arial" w:hAnsi="Arial" w:cs="Arial"/>
        </w:rPr>
        <w:t xml:space="preserve"> S3 e processados por três Jobs do AWS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em </w:t>
      </w:r>
      <w:proofErr w:type="spellStart"/>
      <w:r w:rsidRPr="00956A22">
        <w:rPr>
          <w:rFonts w:ascii="Arial" w:hAnsi="Arial" w:cs="Arial"/>
        </w:rPr>
        <w:t>PySpark</w:t>
      </w:r>
      <w:proofErr w:type="spellEnd"/>
      <w:r w:rsidRPr="00956A22">
        <w:rPr>
          <w:rFonts w:ascii="Arial" w:hAnsi="Arial" w:cs="Arial"/>
        </w:rPr>
        <w:t xml:space="preserve">: Bronze (CSV para Parquet, nomes padronizados), Silver (harmonização das três edições, tipos, deduplicação e correções) e Gold (agregados por pergunta de negócio). O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Data </w:t>
      </w:r>
      <w:proofErr w:type="spellStart"/>
      <w:r w:rsidRPr="00956A22">
        <w:rPr>
          <w:rFonts w:ascii="Arial" w:hAnsi="Arial" w:cs="Arial"/>
        </w:rPr>
        <w:t>Catalog</w:t>
      </w:r>
      <w:proofErr w:type="spellEnd"/>
      <w:r w:rsidRPr="00956A22">
        <w:rPr>
          <w:rFonts w:ascii="Arial" w:hAnsi="Arial" w:cs="Arial"/>
        </w:rPr>
        <w:t xml:space="preserve"> registra 12 tabelas no banco </w:t>
      </w:r>
      <w:proofErr w:type="spellStart"/>
      <w:r w:rsidRPr="00956A22">
        <w:rPr>
          <w:rFonts w:ascii="Arial" w:hAnsi="Arial" w:cs="Arial"/>
        </w:rPr>
        <w:t>db_state_of_data</w:t>
      </w:r>
      <w:proofErr w:type="spellEnd"/>
      <w:r w:rsidRPr="00956A22">
        <w:rPr>
          <w:rFonts w:ascii="Arial" w:hAnsi="Arial" w:cs="Arial"/>
        </w:rPr>
        <w:t>, e o Athena executa SQL sobre a Gold, incluindo 24 checagens de validação.</w:t>
      </w:r>
    </w:p>
    <w:p w14:paraId="3ADFD8D6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drawing>
          <wp:inline distT="0" distB="0" distL="0" distR="0" wp14:anchorId="55A4E19C" wp14:editId="316FF56A">
            <wp:extent cx="8858250" cy="3667125"/>
            <wp:effectExtent l="0" t="0" r="0" b="0"/>
            <wp:docPr id="1" name="/tmp/claude-0/-home-claude/9301f404-96f8-515a-b6ef-24897056c7ba/scratchpad/rel/fluxo_arquitetura.png" descr="Figura 1. Arquitetura de dados do projeto, do CSV bruto ao material para o time de negócio." title="Figura 1. Arquitetura de dados do projeto, do CSV bruto ao material para o time de negó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4A55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>Figura 1. Arquitetura de dados do projeto, do CSV bruto ao material para o time de negócio.</w:t>
      </w:r>
    </w:p>
    <w:p w14:paraId="45C66862" w14:textId="77777777" w:rsidR="00231363" w:rsidRPr="00956A22" w:rsidRDefault="00231363" w:rsidP="00231363">
      <w:pPr>
        <w:pBdr>
          <w:left w:val="single" w:sz="24" w:space="8" w:color="1F5FAF"/>
        </w:pBdr>
        <w:shd w:val="clear" w:color="auto" w:fill="EEF3FA"/>
        <w:spacing w:before="120" w:after="200" w:line="288" w:lineRule="auto"/>
        <w:ind w:left="200" w:right="10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Gráficos: os oito gráficos deste relatório foram gerados no AWS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Notebook (kernel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</w:t>
      </w:r>
      <w:proofErr w:type="spellStart"/>
      <w:r w:rsidRPr="00956A22">
        <w:rPr>
          <w:rFonts w:ascii="Arial" w:hAnsi="Arial" w:cs="Arial"/>
        </w:rPr>
        <w:t>PySpark</w:t>
      </w:r>
      <w:proofErr w:type="spellEnd"/>
      <w:r w:rsidRPr="00956A22">
        <w:rPr>
          <w:rFonts w:ascii="Arial" w:hAnsi="Arial" w:cs="Arial"/>
        </w:rPr>
        <w:t xml:space="preserve">). O notebook executa as agregações com Spark SQL sobre as tabelas Gold e usa </w:t>
      </w:r>
      <w:proofErr w:type="spellStart"/>
      <w:r w:rsidRPr="00956A22">
        <w:rPr>
          <w:rFonts w:ascii="Arial" w:hAnsi="Arial" w:cs="Arial"/>
        </w:rPr>
        <w:t>matplotlib</w:t>
      </w:r>
      <w:proofErr w:type="spellEnd"/>
      <w:r w:rsidRPr="00956A22">
        <w:rPr>
          <w:rFonts w:ascii="Arial" w:hAnsi="Arial" w:cs="Arial"/>
        </w:rPr>
        <w:t xml:space="preserve"> para desenhar e salvar as imagens no S3, na pasta </w:t>
      </w:r>
      <w:proofErr w:type="spellStart"/>
      <w:r w:rsidRPr="00956A22">
        <w:rPr>
          <w:rFonts w:ascii="Arial" w:hAnsi="Arial" w:cs="Arial"/>
        </w:rPr>
        <w:t>graficos</w:t>
      </w:r>
      <w:proofErr w:type="spellEnd"/>
      <w:r w:rsidRPr="00956A22">
        <w:rPr>
          <w:rFonts w:ascii="Arial" w:hAnsi="Arial" w:cs="Arial"/>
        </w:rPr>
        <w:t>/. Os detalhes estão na Seção 7.</w:t>
      </w:r>
    </w:p>
    <w:p w14:paraId="679F58B5" w14:textId="77777777" w:rsidR="00231363" w:rsidRPr="00956A22" w:rsidRDefault="00231363" w:rsidP="00231363">
      <w:pPr>
        <w:rPr>
          <w:rFonts w:ascii="Arial" w:hAnsi="Arial" w:cs="Arial"/>
        </w:rPr>
        <w:sectPr w:rsidR="00231363" w:rsidRPr="00956A22" w:rsidSect="00231363">
          <w:footerReference w:type="default" r:id="rId10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671B012D" w14:textId="77777777" w:rsidR="00231363" w:rsidRPr="00A26949" w:rsidRDefault="00231363" w:rsidP="00231363">
      <w:pPr>
        <w:pStyle w:val="Ttulo1"/>
        <w:rPr>
          <w:rFonts w:ascii="Arial" w:hAnsi="Arial" w:cs="Arial"/>
          <w:b/>
          <w:bCs/>
          <w:color w:val="auto"/>
        </w:rPr>
      </w:pPr>
      <w:bookmarkStart w:id="5" w:name="_Toc243936771"/>
      <w:r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lastRenderedPageBreak/>
        <w:t>4. Análises</w:t>
      </w:r>
      <w:bookmarkEnd w:id="5"/>
    </w:p>
    <w:p w14:paraId="12090AFE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Cada subseção responde a uma das sete perguntas de negócio do projeto. Os números vêm das consultas SQL sobre as tabelas Gold, e os gráficos resumem os mesmos números.</w:t>
      </w:r>
    </w:p>
    <w:p w14:paraId="7FF77E79" w14:textId="77777777" w:rsidR="00231363" w:rsidRPr="00A26949" w:rsidRDefault="00231363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6" w:name="_Toc243936772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4.1 Como está estruturado o mercado</w:t>
      </w:r>
      <w:bookmarkEnd w:id="6"/>
    </w:p>
    <w:p w14:paraId="54BBDDBE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O mercado se concentra em analistas e gestores, em grandes empresas, no setor financeiro e no Sudeste. A fatia de júnior caiu de 22,0% para 16,1% em três anos, enquanto a de gestores cresceu de 16,9% para 20,8% na tabela de indicadores e 22,5% como nível no gráfico. </w:t>
      </w:r>
    </w:p>
    <w:p w14:paraId="4636B08B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</w:p>
    <w:p w14:paraId="3B1F9B44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drawing>
          <wp:inline distT="0" distB="0" distL="0" distR="0" wp14:anchorId="2F26B1E2" wp14:editId="7A8304CA">
            <wp:extent cx="5905500" cy="2228850"/>
            <wp:effectExtent l="0" t="0" r="0" b="0"/>
            <wp:docPr id="623334994" name="p1_estrutura_mercado.png" descr="Figura 2. Cargos mais frequentes em 2025 e senioridade de 2023 a 2025, sem “Não informado”. Gráfico gerado no Glue Notebook a partir da tabela gold_fato_mercado." title="Figura 2. Cargos mais frequentes em 2025 e senioridade de 2023 a 2025, sem “Não informado”. Gráfico gerado no Glue Notebook a partir da tabela gold_fato_mer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4037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2. Cargos mais frequentes em 2025 e senioridade de 2023 a 2025, sem “Não informado”.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 a partir da tabela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gold_fato_mercado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12"/>
        <w:gridCol w:w="2213"/>
        <w:gridCol w:w="2213"/>
      </w:tblGrid>
      <w:tr w:rsidR="00231363" w:rsidRPr="00956A22" w14:paraId="36EA9850" w14:textId="77777777" w:rsidTr="00D861EB">
        <w:trPr>
          <w:cantSplit/>
          <w:tblHeader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066E1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Indicador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7AAF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2023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6AEC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2024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BFB7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2025</w:t>
            </w:r>
          </w:p>
        </w:tc>
      </w:tr>
      <w:tr w:rsidR="00231363" w:rsidRPr="00956A22" w14:paraId="663771C5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2029D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Respondentes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B1AC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5.293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FF52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5.215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D9CD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3.494</w:t>
            </w:r>
          </w:p>
        </w:tc>
      </w:tr>
      <w:tr w:rsidR="00231363" w:rsidRPr="00956A22" w14:paraId="6AFD2F64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48833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Ocupados (%)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A137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90,8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9E80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93,8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7B4B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92,8</w:t>
            </w:r>
          </w:p>
        </w:tc>
      </w:tr>
      <w:tr w:rsidR="00231363" w:rsidRPr="00956A22" w14:paraId="581EA53D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FF7C8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Gestores (%)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16F3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16,9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4C70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20,0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54CC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20,8</w:t>
            </w:r>
          </w:p>
        </w:tc>
      </w:tr>
      <w:tr w:rsidR="00231363" w:rsidRPr="00956A22" w14:paraId="3FFA85E1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5EB2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Júnior (%)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C0B4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22,0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91B7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17,9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EEC4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16,1</w:t>
            </w:r>
          </w:p>
        </w:tc>
      </w:tr>
      <w:tr w:rsidR="00231363" w:rsidRPr="00956A22" w14:paraId="6F124B6D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EE3C8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Sênior (%)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5175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29,9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E555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32,3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C4BB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26,6</w:t>
            </w:r>
          </w:p>
        </w:tc>
      </w:tr>
      <w:tr w:rsidR="00231363" w:rsidRPr="00956A22" w14:paraId="4501FEC5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4968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Especialista/Staff+ (%)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F6B5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—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4FE0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—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3543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10,8</w:t>
            </w:r>
          </w:p>
        </w:tc>
      </w:tr>
      <w:tr w:rsidR="00231363" w:rsidRPr="00956A22" w14:paraId="0EF5EC5C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7A80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Sudeste (%)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5F3E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61,4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BADC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61,7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68DA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64,4</w:t>
            </w:r>
          </w:p>
        </w:tc>
      </w:tr>
      <w:tr w:rsidR="00231363" w:rsidRPr="00956A22" w14:paraId="616F7D27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935F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Norte (%)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8864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1,6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3E5B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1,3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0D02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1,4</w:t>
            </w:r>
          </w:p>
        </w:tc>
      </w:tr>
    </w:tbl>
    <w:p w14:paraId="0D213888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4E827A72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Na análise das bases, os cargos em 2025 com maior frequência foram: gestão 22,5%, analista de dados 18,6%, engenharia/arquitetura de Dados 13,3%, cientista de dados 13,1% e analista de BI 6,7%. Enquanto os setores nessa mesma análise são: finanças ou bancos 18,5%, tecnologia 17,4% e consultoria 8,8%. Empresas com mais de 3.000 funcionários são a maior faixa nos três anos.</w:t>
      </w:r>
    </w:p>
    <w:p w14:paraId="7EA0345D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Podemos concluir que o crescimento de gestores e a queda de júnior indicam um mercado que envelhece, o que pressiona a oferta de profissionais experientes. O nível Especialista/Staff+ somente existe a partir de 2025, e parte da queda do Sênior (de 32,3% para 26,6%) vem dessa nova opção.</w:t>
      </w:r>
    </w:p>
    <w:p w14:paraId="6305C287" w14:textId="77777777" w:rsidR="00231363" w:rsidRPr="00A26949" w:rsidRDefault="00231363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7" w:name="_Toc243936773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lastRenderedPageBreak/>
        <w:t>4.2 Quais perfis são mais valorizados</w:t>
      </w:r>
      <w:bookmarkEnd w:id="7"/>
    </w:p>
    <w:p w14:paraId="6F04A0DD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Senioridade e perfis de IA e engenharia são os mais bem pagos. A média estimada subiu de R$ 10,4 mil em 2023 para R$ 11,9 mil em 2024 e R$ 13,1 mil em 2025, um aumento de cerca de 25% em dois anos.</w:t>
      </w:r>
    </w:p>
    <w:p w14:paraId="1F9C26BD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drawing>
          <wp:inline distT="0" distB="0" distL="0" distR="0" wp14:anchorId="0F5BA37C" wp14:editId="499B8751">
            <wp:extent cx="5905500" cy="2333625"/>
            <wp:effectExtent l="0" t="0" r="0" b="0"/>
            <wp:docPr id="1881355547" name="p2_salarios.png" descr="Figura 3. Salário médio por cargo em 2025 e por nível de 2023 a 2025. Gráfico gerado no Glue Notebook a partir da tabela gold_remuneracao." title="Figura 3. Salário médio por cargo em 2025 e por nível de 2023 a 2025. Gráfico gerado no Glue Notebook a partir da tabela gold_remuneraca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DC3A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3. Salário médio por cargo em 2025 e por nível de 2023 a 2025.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 a partir da tabela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gold_remuneracao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12"/>
        <w:gridCol w:w="2213"/>
        <w:gridCol w:w="2213"/>
      </w:tblGrid>
      <w:tr w:rsidR="00231363" w:rsidRPr="00956A22" w14:paraId="6FE6474D" w14:textId="77777777" w:rsidTr="00D861EB">
        <w:trPr>
          <w:cantSplit/>
          <w:tblHeader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B866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Nível (R$ por mês)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09F8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2023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58E2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2024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C701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2025</w:t>
            </w:r>
          </w:p>
        </w:tc>
      </w:tr>
      <w:tr w:rsidR="00231363" w:rsidRPr="00956A22" w14:paraId="75965B8E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A407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Júnior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914C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3.923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F5C5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4.155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5DF5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4.171</w:t>
            </w:r>
          </w:p>
        </w:tc>
      </w:tr>
      <w:tr w:rsidR="00231363" w:rsidRPr="00956A22" w14:paraId="6D80D383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34AF4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Pleno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F299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7.530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A589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8.050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6A76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8.291</w:t>
            </w:r>
          </w:p>
        </w:tc>
      </w:tr>
      <w:tr w:rsidR="00231363" w:rsidRPr="00956A22" w14:paraId="2829207F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F322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Sênior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44C8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13.577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9882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14.489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9233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14.335</w:t>
            </w:r>
          </w:p>
        </w:tc>
      </w:tr>
      <w:tr w:rsidR="00231363" w:rsidRPr="00956A22" w14:paraId="214E1CC5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05E7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Especialista/Staff+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4A2C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—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61BF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—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C957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19.603</w:t>
            </w:r>
          </w:p>
        </w:tc>
      </w:tr>
      <w:tr w:rsidR="00231363" w:rsidRPr="00956A22" w14:paraId="5BB8F13D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269D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Gestor</w:t>
            </w:r>
          </w:p>
        </w:tc>
        <w:tc>
          <w:tcPr>
            <w:tcW w:w="2212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3206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17.569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E7A8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19.670</w:t>
            </w:r>
          </w:p>
        </w:tc>
        <w:tc>
          <w:tcPr>
            <w:tcW w:w="221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ED9D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19.780</w:t>
            </w:r>
          </w:p>
        </w:tc>
      </w:tr>
    </w:tbl>
    <w:p w14:paraId="610B97F6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14D19A4D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Em 2025, gestão tem média de R$ 19.780 (720 pessoas), engenharia de ML/IA R$ 18.561 (106 pessoas, alta de 19% sobre 2024) e engenharia de dados R$ 14.349 (427 pessoas). O topo da carreira técnica é Staff em engenharia/arquitetura de dados (R$ 22,2 mil) e sênior em engenharia de ML/IA (R$ 21,9 mil). Quem tem até 2 anos de experiência ganha R$ 6,3 mil, e quem tem mais de 10 anos, R$ 21,7 mil.</w:t>
      </w:r>
    </w:p>
    <w:p w14:paraId="48193EF5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Conclui-se que o salário quase dobra a cada degrau de senioridade, e o prêmio por IA é o que mais cresce. Para quem contrata, o gargalo está em Sênior e Staff, onde a disputa é maior.</w:t>
      </w:r>
    </w:p>
    <w:p w14:paraId="0B9125AF" w14:textId="77777777" w:rsidR="00231363" w:rsidRPr="00A26949" w:rsidRDefault="00231363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8" w:name="_Toc243936774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4.3 Diversidade de gênero</w:t>
      </w:r>
      <w:bookmarkEnd w:id="8"/>
    </w:p>
    <w:p w14:paraId="5A5F5488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As mulheres são 22,0% dos profissionais em 2025, contra 24,4% em 2023, e ganham cerca de 18% menos que os homens. A diferença quase some no Pleno e cresce no Sênior.</w:t>
      </w:r>
    </w:p>
    <w:p w14:paraId="163ADAD2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lastRenderedPageBreak/>
        <w:drawing>
          <wp:inline distT="0" distB="0" distL="0" distR="0" wp14:anchorId="6EA2FBE6" wp14:editId="7DA69FB6">
            <wp:extent cx="5905500" cy="2133600"/>
            <wp:effectExtent l="0" t="0" r="0" b="0"/>
            <wp:docPr id="1656747874" name="p3_diversidade_genero.png" descr="Figura 4. Mulheres na amostra e diferença salarial por nível, 2023 e 2025. Gráfico gerado no Glue Notebook a partir da tabela gold_diversidade_genero." title="Figura 4. Mulheres na amostra e diferença salarial por nível, 2023 e 2025. Gráfico gerado no Glue Notebook a partir da tabela gold_diversidade_gen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75F7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4. Mulheres na amostra e diferença salarial por nível, 2023 e 2025.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 a partir da tabela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gold_diversidade_genero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946"/>
        <w:gridCol w:w="1946"/>
        <w:gridCol w:w="1946"/>
      </w:tblGrid>
      <w:tr w:rsidR="00231363" w:rsidRPr="00956A22" w14:paraId="13CE6E72" w14:textId="77777777" w:rsidTr="00D861EB">
        <w:trPr>
          <w:cantSplit/>
          <w:tblHeader/>
        </w:trPr>
        <w:tc>
          <w:tcPr>
            <w:tcW w:w="3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F701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Indicador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C7A8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2023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541C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2024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9DDC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2025</w:t>
            </w:r>
          </w:p>
        </w:tc>
      </w:tr>
      <w:tr w:rsidR="00231363" w:rsidRPr="00956A22" w14:paraId="10E1FF03" w14:textId="77777777" w:rsidTr="00D861EB">
        <w:trPr>
          <w:cantSplit/>
        </w:trPr>
        <w:tc>
          <w:tcPr>
            <w:tcW w:w="3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FB9A4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Mulheres na amostra (%)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1CB8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24,4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ACD8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23,5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C27D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22,0</w:t>
            </w:r>
          </w:p>
        </w:tc>
      </w:tr>
      <w:tr w:rsidR="00231363" w:rsidRPr="00956A22" w14:paraId="4658D819" w14:textId="77777777" w:rsidTr="00D861EB">
        <w:trPr>
          <w:cantSplit/>
        </w:trPr>
        <w:tc>
          <w:tcPr>
            <w:tcW w:w="3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0D2B5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Diferença salarial geral (%)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0419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−17,8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0536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−18,7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BAC2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−18,4</w:t>
            </w:r>
          </w:p>
        </w:tc>
      </w:tr>
      <w:tr w:rsidR="00231363" w:rsidRPr="00956A22" w14:paraId="73CB90C1" w14:textId="77777777" w:rsidTr="00D861EB">
        <w:trPr>
          <w:cantSplit/>
        </w:trPr>
        <w:tc>
          <w:tcPr>
            <w:tcW w:w="3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705D5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Diferença no Júnior (%)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7928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−7,5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DDA5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+1,6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E923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−14,6</w:t>
            </w:r>
          </w:p>
        </w:tc>
      </w:tr>
      <w:tr w:rsidR="00231363" w:rsidRPr="00956A22" w14:paraId="4A2821F4" w14:textId="77777777" w:rsidTr="00D861EB">
        <w:trPr>
          <w:cantSplit/>
        </w:trPr>
        <w:tc>
          <w:tcPr>
            <w:tcW w:w="3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D4155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Diferença no Pleno (%)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0589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−1,3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32BE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−3,9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7828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+0,4</w:t>
            </w:r>
          </w:p>
        </w:tc>
      </w:tr>
      <w:tr w:rsidR="00231363" w:rsidRPr="00956A22" w14:paraId="1047FBE4" w14:textId="77777777" w:rsidTr="00D861EB">
        <w:trPr>
          <w:cantSplit/>
        </w:trPr>
        <w:tc>
          <w:tcPr>
            <w:tcW w:w="3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B797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Diferença no Sênior (%)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F8C5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−10,9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6E13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−16,7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A952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−18,6</w:t>
            </w:r>
          </w:p>
        </w:tc>
      </w:tr>
      <w:tr w:rsidR="00231363" w:rsidRPr="00956A22" w14:paraId="66406D76" w14:textId="77777777" w:rsidTr="00D861EB">
        <w:trPr>
          <w:cantSplit/>
        </w:trPr>
        <w:tc>
          <w:tcPr>
            <w:tcW w:w="3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718B2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Diferença no Gestor (%)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B275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−17,2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1748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−11,9</w:t>
            </w:r>
          </w:p>
        </w:tc>
        <w:tc>
          <w:tcPr>
            <w:tcW w:w="1946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F0CF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−10,5</w:t>
            </w:r>
          </w:p>
        </w:tc>
      </w:tr>
    </w:tbl>
    <w:p w14:paraId="50B44812" w14:textId="77777777" w:rsidR="00231363" w:rsidRPr="00956A22" w:rsidRDefault="00231363" w:rsidP="00231363">
      <w:pPr>
        <w:spacing w:after="140"/>
        <w:rPr>
          <w:rFonts w:ascii="Arial" w:hAnsi="Arial" w:cs="Arial"/>
          <w:sz w:val="19"/>
          <w:szCs w:val="19"/>
        </w:rPr>
      </w:pPr>
      <w:r w:rsidRPr="00956A22">
        <w:rPr>
          <w:rFonts w:ascii="Arial" w:hAnsi="Arial" w:cs="Arial"/>
          <w:sz w:val="19"/>
          <w:szCs w:val="19"/>
        </w:rPr>
        <w:t>Diferença salarial = salário médio de mulheres em relação ao de homens no mesmo grupo.</w:t>
      </w:r>
    </w:p>
    <w:p w14:paraId="2F3DAC36" w14:textId="77777777" w:rsidR="00231363" w:rsidRPr="00956A22" w:rsidRDefault="00231363" w:rsidP="00231363">
      <w:pPr>
        <w:spacing w:after="140"/>
        <w:rPr>
          <w:rFonts w:ascii="Arial" w:hAnsi="Arial" w:cs="Arial"/>
        </w:rPr>
      </w:pPr>
    </w:p>
    <w:p w14:paraId="6C046D01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A participação feminina cai ao longo da carreira em 2025: júnior 28,2%, pleno 22,3%, sênior 20,8%, Staff+ 20,1% e gestor 18,4%. Por cargo, é maior em </w:t>
      </w:r>
      <w:proofErr w:type="spellStart"/>
      <w:r w:rsidRPr="00956A22">
        <w:rPr>
          <w:rFonts w:ascii="Arial" w:hAnsi="Arial" w:cs="Arial"/>
        </w:rPr>
        <w:t>Product</w:t>
      </w:r>
      <w:proofErr w:type="spellEnd"/>
      <w:r w:rsidRPr="00956A22">
        <w:rPr>
          <w:rFonts w:ascii="Arial" w:hAnsi="Arial" w:cs="Arial"/>
        </w:rPr>
        <w:t xml:space="preserve"> Manager (42,4%) e analista de negócios (27,7%), e menor em engenharia de ML/IA (15,1%) e engenharia/arquitetura de dados (17,7%).</w:t>
      </w:r>
    </w:p>
    <w:p w14:paraId="00D6B3F5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Uma parcela da diferença geral vem da composição, porque há menos mulheres nos níveis e cargos mais bem pagos. A diferença dentro do sênior, porém, cresceu, e a mistura de cargos pode explicar parte disso, o que estas consultas não testaram. Em Engenharia de ML/IA e </w:t>
      </w:r>
      <w:proofErr w:type="spellStart"/>
      <w:r w:rsidRPr="00956A22">
        <w:rPr>
          <w:rFonts w:ascii="Arial" w:hAnsi="Arial" w:cs="Arial"/>
        </w:rPr>
        <w:t>Product</w:t>
      </w:r>
      <w:proofErr w:type="spellEnd"/>
      <w:r w:rsidRPr="00956A22">
        <w:rPr>
          <w:rFonts w:ascii="Arial" w:hAnsi="Arial" w:cs="Arial"/>
        </w:rPr>
        <w:t xml:space="preserve"> Manager o número de mulheres é menor.</w:t>
      </w:r>
    </w:p>
    <w:p w14:paraId="47C26365" w14:textId="77777777" w:rsidR="00231363" w:rsidRPr="00A26949" w:rsidRDefault="00231363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9" w:name="_Toc243936775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4.4 Tecnologias com maior adoção</w:t>
      </w:r>
      <w:bookmarkEnd w:id="9"/>
    </w:p>
    <w:p w14:paraId="076BE5AC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A </w:t>
      </w:r>
      <w:proofErr w:type="spellStart"/>
      <w:r w:rsidRPr="00956A22">
        <w:rPr>
          <w:rFonts w:ascii="Arial" w:hAnsi="Arial" w:cs="Arial"/>
        </w:rPr>
        <w:t>stack</w:t>
      </w:r>
      <w:proofErr w:type="spellEnd"/>
      <w:r w:rsidRPr="00956A22">
        <w:rPr>
          <w:rFonts w:ascii="Arial" w:hAnsi="Arial" w:cs="Arial"/>
        </w:rPr>
        <w:t xml:space="preserve"> converge para AWS, Python, SQL, Power BI e plataformas como </w:t>
      </w:r>
      <w:proofErr w:type="spellStart"/>
      <w:r w:rsidRPr="00956A22">
        <w:rPr>
          <w:rFonts w:ascii="Arial" w:hAnsi="Arial" w:cs="Arial"/>
        </w:rPr>
        <w:t>Databricks</w:t>
      </w:r>
      <w:proofErr w:type="spellEnd"/>
      <w:r w:rsidRPr="00956A22">
        <w:rPr>
          <w:rFonts w:ascii="Arial" w:hAnsi="Arial" w:cs="Arial"/>
        </w:rPr>
        <w:t xml:space="preserve"> e PostgreSQL. </w:t>
      </w:r>
      <w:proofErr w:type="spellStart"/>
      <w:r w:rsidRPr="00956A22">
        <w:rPr>
          <w:rFonts w:ascii="Arial" w:hAnsi="Arial" w:cs="Arial"/>
        </w:rPr>
        <w:t>Databricks</w:t>
      </w:r>
      <w:proofErr w:type="spellEnd"/>
      <w:r w:rsidRPr="00956A22">
        <w:rPr>
          <w:rFonts w:ascii="Arial" w:hAnsi="Arial" w:cs="Arial"/>
        </w:rPr>
        <w:t xml:space="preserve"> foi o que mais cresceu entre 2023 e 2025 (+11,5 pontos percentuais), e Tableau foi o que mais perdeu espaço (−5,3). </w:t>
      </w:r>
      <w:proofErr w:type="spellStart"/>
      <w:r w:rsidRPr="00956A22">
        <w:rPr>
          <w:rFonts w:ascii="Arial" w:hAnsi="Arial" w:cs="Arial"/>
        </w:rPr>
        <w:t>Databricks</w:t>
      </w:r>
      <w:proofErr w:type="spellEnd"/>
      <w:r w:rsidRPr="00956A22">
        <w:rPr>
          <w:rFonts w:ascii="Arial" w:hAnsi="Arial" w:cs="Arial"/>
        </w:rPr>
        <w:t xml:space="preserve"> também cresce em ferramentas de ETL para análise (+8,6 pp), e </w:t>
      </w:r>
      <w:proofErr w:type="spellStart"/>
      <w:r w:rsidRPr="00956A22">
        <w:rPr>
          <w:rFonts w:ascii="Arial" w:hAnsi="Arial" w:cs="Arial"/>
        </w:rPr>
        <w:t>SQLite</w:t>
      </w:r>
      <w:proofErr w:type="spellEnd"/>
      <w:r w:rsidRPr="00956A22">
        <w:rPr>
          <w:rFonts w:ascii="Arial" w:hAnsi="Arial" w:cs="Arial"/>
        </w:rPr>
        <w:t xml:space="preserve"> subiu 7,6 pp.</w:t>
      </w:r>
    </w:p>
    <w:p w14:paraId="5156BD77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lastRenderedPageBreak/>
        <w:drawing>
          <wp:inline distT="0" distB="0" distL="0" distR="0" wp14:anchorId="7C49FE60" wp14:editId="3DB0B36B">
            <wp:extent cx="5905500" cy="2152650"/>
            <wp:effectExtent l="0" t="0" r="0" b="0"/>
            <wp:docPr id="1348822460" name="p4_tecnologias.png" descr="Figura 5. Nuvem usada em 2025 e maiores variações de adoção entre 2023 e 2025. Gráfico gerado no Glue Notebook a partir da tabela gold_adocao_tecnologias." title="Figura 5. Nuvem usada em 2025 e maiores variações de adoção entre 2023 e 2025. Gráfico gerado no Glue Notebook a partir da tabela gold_adocao_tecnolog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7119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5. Nuvem usada em 2025 e maiores variações de adoção entre 2023 e 2025.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 a partir da tabela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gold_adocao_tecnologias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000"/>
        <w:gridCol w:w="1000"/>
        <w:gridCol w:w="1000"/>
        <w:gridCol w:w="2438"/>
      </w:tblGrid>
      <w:tr w:rsidR="00231363" w:rsidRPr="00956A22" w14:paraId="77946891" w14:textId="77777777" w:rsidTr="00D861EB">
        <w:trPr>
          <w:cantSplit/>
          <w:tblHeader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29103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Tecnologia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2247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Categoria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EA7C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2023 (%)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6508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2024 (%)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B6A5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2025 (%)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A45C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Variação (pp)</w:t>
            </w:r>
          </w:p>
        </w:tc>
      </w:tr>
      <w:tr w:rsidR="00231363" w:rsidRPr="00956A22" w14:paraId="30523512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C6B21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AWS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68C8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Cloud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B0CF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42,3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C158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44,1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19FD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48,3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D30B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+5,9</w:t>
            </w:r>
          </w:p>
        </w:tc>
      </w:tr>
      <w:tr w:rsidR="00231363" w:rsidRPr="00956A22" w14:paraId="595C3BC7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AB88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Azure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6B7D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Cloud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86D6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31,6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AEE2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30,9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E214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34,8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0ABD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+3,3</w:t>
            </w:r>
          </w:p>
        </w:tc>
      </w:tr>
      <w:tr w:rsidR="00231363" w:rsidRPr="00956A22" w14:paraId="399C1CC1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E2CB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Google Cloud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73AA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Cloud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128D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30,6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9F2E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29,2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8D73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30,9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6565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+0,3</w:t>
            </w:r>
          </w:p>
        </w:tc>
      </w:tr>
      <w:tr w:rsidR="00231363" w:rsidRPr="00956A22" w14:paraId="595BB54F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7F254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PostgreSQL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84EA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Banco/plataforma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EBAE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28,3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5266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31,4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E37B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36,8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D726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+8,5</w:t>
            </w:r>
          </w:p>
        </w:tc>
      </w:tr>
      <w:tr w:rsidR="00231363" w:rsidRPr="00956A22" w14:paraId="2D9A5ABB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77F40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SQL Server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9952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Banco/plataforma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B463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32,1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1986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29,3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07AE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33,5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73DC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+1,5</w:t>
            </w:r>
          </w:p>
        </w:tc>
      </w:tr>
      <w:tr w:rsidR="00231363" w:rsidRPr="00956A22" w14:paraId="60CDD94A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78470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Databricks</w:t>
            </w:r>
            <w:proofErr w:type="spellEnd"/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0819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Banco/plataforma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98EC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21,4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8007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31,1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61B8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32,9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B35D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+11,5</w:t>
            </w:r>
          </w:p>
        </w:tc>
      </w:tr>
      <w:tr w:rsidR="00231363" w:rsidRPr="00956A22" w14:paraId="1B2ACC62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5D7B4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S3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0FCD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Banco/plataforma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0A5E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20,9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8D0E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23,6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2124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28,8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496D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+7,9</w:t>
            </w:r>
          </w:p>
        </w:tc>
      </w:tr>
      <w:tr w:rsidR="00231363" w:rsidRPr="00956A22" w14:paraId="763548FB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F9A33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Power BI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B852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BI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ED40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57,1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7C06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55,2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CA59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59,0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9E6B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+1,9</w:t>
            </w:r>
          </w:p>
        </w:tc>
      </w:tr>
      <w:tr w:rsidR="00231363" w:rsidRPr="00956A22" w14:paraId="7A28B9AD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DB619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Looker</w:t>
            </w:r>
            <w:proofErr w:type="spellEnd"/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FD31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BI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21CD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23,8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9CEE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23,0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4645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22,6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A3C5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−1,2</w:t>
            </w:r>
          </w:p>
        </w:tc>
      </w:tr>
      <w:tr w:rsidR="00231363" w:rsidRPr="00956A22" w14:paraId="56754684" w14:textId="77777777" w:rsidTr="00D861EB">
        <w:trPr>
          <w:cantSplit/>
        </w:trPr>
        <w:tc>
          <w:tcPr>
            <w:tcW w:w="2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82DB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Tableau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F8A4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BI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948E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18,9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E576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19,0</w:t>
            </w:r>
          </w:p>
        </w:tc>
        <w:tc>
          <w:tcPr>
            <w:tcW w:w="1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AE41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13,6</w:t>
            </w:r>
          </w:p>
        </w:tc>
        <w:tc>
          <w:tcPr>
            <w:tcW w:w="24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CA3D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−5,3</w:t>
            </w:r>
          </w:p>
        </w:tc>
      </w:tr>
    </w:tbl>
    <w:p w14:paraId="6C1F1BA1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0073DBFD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Por perfil em 2025, AWS lidera entre engenheiros de dados (58,7%) e de ML/IA (63,2%); entre analistas de BI, a líder é Azure (37,4%). Athena subiu 3,3 pontos (15,2%) e </w:t>
      </w:r>
      <w:proofErr w:type="spellStart"/>
      <w:r w:rsidRPr="00956A22">
        <w:rPr>
          <w:rFonts w:ascii="Arial" w:hAnsi="Arial" w:cs="Arial"/>
        </w:rPr>
        <w:t>QuickSight</w:t>
      </w:r>
      <w:proofErr w:type="spellEnd"/>
      <w:r w:rsidRPr="00956A22">
        <w:rPr>
          <w:rFonts w:ascii="Arial" w:hAnsi="Arial" w:cs="Arial"/>
        </w:rPr>
        <w:t xml:space="preserve"> 3,1 (6,8%).</w:t>
      </w:r>
    </w:p>
    <w:p w14:paraId="77CB2CFB" w14:textId="77777777" w:rsidR="00231363" w:rsidRPr="00A26949" w:rsidRDefault="00231363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0" w:name="_Toc243936776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4.5 Adoção de IA e seu impacto</w:t>
      </w:r>
      <w:bookmarkEnd w:id="10"/>
    </w:p>
    <w:p w14:paraId="4889A29A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 uso individual de IA para produtividade chegou a 98,2% em 2025, contra 81,0% em 2023. Mas só 26,5% dos gestores relatam projetos de IA generativa em produção com resultado.</w:t>
      </w:r>
    </w:p>
    <w:p w14:paraId="632FD844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drawing>
          <wp:inline distT="0" distB="0" distL="0" distR="0" wp14:anchorId="3EDFE42A" wp14:editId="2E41065C">
            <wp:extent cx="5905500" cy="2133600"/>
            <wp:effectExtent l="0" t="0" r="0" b="0"/>
            <wp:docPr id="484556376" name="p5a_adocao_ia.png" descr="Figura 6. Uso de IA no trabalho e tipo de uso, 2023 a 2025. Gráfico gerado no Glue Notebook a partir da tabela gold_adocao_ia." title="Figura 6. Uso de IA no trabalho e tipo de uso, 2023 a 2025. Gráfico gerado no Glue Notebook a partir da tabela gold_adocao_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9F3D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6. Uso de IA no trabalho e tipo de uso, 2023 a 2025.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 a partir da tabela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gold_adocao_ia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8"/>
        <w:gridCol w:w="1800"/>
        <w:gridCol w:w="1800"/>
        <w:gridCol w:w="1800"/>
      </w:tblGrid>
      <w:tr w:rsidR="00231363" w:rsidRPr="00956A22" w14:paraId="6B12FCDA" w14:textId="77777777" w:rsidTr="00D861EB">
        <w:trPr>
          <w:cantSplit/>
          <w:tblHeader/>
        </w:trPr>
        <w:tc>
          <w:tcPr>
            <w:tcW w:w="4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1CEA3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lastRenderedPageBreak/>
              <w:t>Uso de IA para produtividade (%)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1172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2023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15DF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F058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2025</w:t>
            </w:r>
          </w:p>
        </w:tc>
      </w:tr>
      <w:tr w:rsidR="00231363" w:rsidRPr="00956A22" w14:paraId="32E4F047" w14:textId="77777777" w:rsidTr="00D861EB">
        <w:trPr>
          <w:cantSplit/>
        </w:trPr>
        <w:tc>
          <w:tcPr>
            <w:tcW w:w="4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B32FA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Usa alguma IA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F7D5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81,0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8F26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93,8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884A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98,2</w:t>
            </w:r>
          </w:p>
        </w:tc>
      </w:tr>
      <w:tr w:rsidR="00231363" w:rsidRPr="00956A22" w14:paraId="45D2D414" w14:textId="77777777" w:rsidTr="00D861EB">
        <w:trPr>
          <w:cantSplit/>
        </w:trPr>
        <w:tc>
          <w:tcPr>
            <w:tcW w:w="4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29AD4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A empresa paga a ferramenta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A71F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6,4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3A88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19,3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48D0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42,3</w:t>
            </w:r>
          </w:p>
        </w:tc>
      </w:tr>
      <w:tr w:rsidR="00231363" w:rsidRPr="00956A22" w14:paraId="0A0631A2" w14:textId="77777777" w:rsidTr="00D861EB">
        <w:trPr>
          <w:cantSplit/>
        </w:trPr>
        <w:tc>
          <w:tcPr>
            <w:tcW w:w="4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EE63F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Usa só ferramentas gratuitas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3D6B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63,7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08CB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53,7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3DDF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30,6</w:t>
            </w:r>
          </w:p>
        </w:tc>
      </w:tr>
      <w:tr w:rsidR="00231363" w:rsidRPr="00956A22" w14:paraId="2DB864E3" w14:textId="77777777" w:rsidTr="00D861EB">
        <w:trPr>
          <w:cantSplit/>
        </w:trPr>
        <w:tc>
          <w:tcPr>
            <w:tcW w:w="4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C77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 xml:space="preserve">Usa assistente de código (tipo </w:t>
            </w: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Copilot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372E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11,8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CE59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23,7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160B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29,8</w:t>
            </w:r>
          </w:p>
        </w:tc>
      </w:tr>
      <w:tr w:rsidR="00231363" w:rsidRPr="00956A22" w14:paraId="7043E1CB" w14:textId="77777777" w:rsidTr="00D861EB">
        <w:trPr>
          <w:cantSplit/>
        </w:trPr>
        <w:tc>
          <w:tcPr>
            <w:tcW w:w="4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31D7A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Paga do próprio bolso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E8FF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6,9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5A48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15,5</w:t>
            </w:r>
          </w:p>
        </w:tc>
        <w:tc>
          <w:tcPr>
            <w:tcW w:w="18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50EC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26,9</w:t>
            </w:r>
          </w:p>
        </w:tc>
      </w:tr>
    </w:tbl>
    <w:p w14:paraId="773A2739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0CFFA6ED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drawing>
          <wp:inline distT="0" distB="0" distL="0" distR="0" wp14:anchorId="0F9DCEDE" wp14:editId="3415CD27">
            <wp:extent cx="5905500" cy="2238375"/>
            <wp:effectExtent l="0" t="0" r="0" b="0"/>
            <wp:docPr id="597044462" name="p5b_ia_nas_empresas.png" descr="Figura 7. Barreiras à IA (2023 e 2025) e estágio da IA nas empresas, segundo gestores. Gráfico gerado no Glue Notebook." title="Figura 7. Barreiras à IA (2023 e 2025) e estágio da IA nas empresas, segundo gestores. Gráfico gerado no Glue Noteboo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9742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7. Barreiras à IA (2023 e 2025) e estágio da IA nas empresas, segundo gestores.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Notebook.</w:t>
      </w:r>
    </w:p>
    <w:p w14:paraId="72BE8B8D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Entre os gestores em 2025, 60,6% dizem que IA é prioridade (36,2% em 2023). Quanto aos resultados, 26,5% têm projetos em produção, 38,4% estão em pilotos, 15,0% em investigação e 13,5% não começaram. As barreiras mais citadas são falta de expertise ou recursos (38,8%), dados não prontos para IA (36,8%), casos de uso pouco claros (32,0%) e ROI não comprovado (28,5%, contra 15,3% em 2023). O uso com direcionamento centralizado foi de 10,5% para 35,7%. Entre 2023 e 2025, expertise (35% para 39%), dados não prontos (31% para 37%) e ROI (15% para 28%) ganharam peso, enquanto casos de uso pouco claros (37% para 32%) e segurança e privacidade (32% para 28%) perderam.</w:t>
      </w:r>
    </w:p>
    <w:p w14:paraId="12FC927E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 impacto no salário para quem usa IA ganha em média R$ 11,4 mil, contra R$ 10,2 mil de quem não usa. É correlação, e não causa, e o grupo que não usa tem só 36 pessoas.</w:t>
      </w:r>
    </w:p>
    <w:p w14:paraId="7E8C9F65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Leitura: a barreira principal é gente e dado, e não ferramenta. A pressão por ROI cresce à medida que os pilotos envelhecem sem chegar à produção.</w:t>
      </w:r>
    </w:p>
    <w:p w14:paraId="73CBEBA9" w14:textId="77777777" w:rsidR="00231363" w:rsidRPr="00A26949" w:rsidRDefault="00231363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1" w:name="_Toc243936777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4.6 Regiões, senioridades e modelos de trabalho</w:t>
      </w:r>
      <w:bookmarkEnd w:id="11"/>
    </w:p>
    <w:p w14:paraId="711CA9E7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 modelo de trabalho pesa mais que a região. No mesmo nível, os salários regionais ficam próximos, e a satisfação no presencial é cerca de 20 pontos menor que no remoto.</w:t>
      </w:r>
    </w:p>
    <w:p w14:paraId="73AEF854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lastRenderedPageBreak/>
        <w:drawing>
          <wp:inline distT="0" distB="0" distL="0" distR="0" wp14:anchorId="436C14FA" wp14:editId="246DA36C">
            <wp:extent cx="5905500" cy="2133600"/>
            <wp:effectExtent l="0" t="0" r="0" b="0"/>
            <wp:docPr id="720704087" name="p6_regiao_modelo.png" descr="Figura 8. Satisfação e intenção de saída por modelo de trabalho, e salário por região e nível, em 2025. Gráfico gerado no Glue Notebook a partir da tabela gold_trabalho_regiao." title="Figura 8. Satisfação e intenção de saída por modelo de trabalho, e salário por região e nível, em 2025. Gráfico gerado no Glue Notebook a partir da tabela gold_trabalho_regia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A0A2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8. Satisfação e intenção de saída por modelo de trabalho, e salário por região e nível, em 2025.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 a partir da tabela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gold_trabalho_regiao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700"/>
        <w:gridCol w:w="1500"/>
        <w:gridCol w:w="2938"/>
      </w:tblGrid>
      <w:tr w:rsidR="00231363" w:rsidRPr="00956A22" w14:paraId="58B227F9" w14:textId="77777777" w:rsidTr="00D861EB">
        <w:trPr>
          <w:cantSplit/>
          <w:tblHeader/>
        </w:trPr>
        <w:tc>
          <w:tcPr>
            <w:tcW w:w="2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432E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Modelo atual (2025)</w:t>
            </w:r>
          </w:p>
        </w:tc>
        <w:tc>
          <w:tcPr>
            <w:tcW w:w="13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1AFC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Particip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. (%)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0E8F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Salário médio (R$)</w:t>
            </w:r>
          </w:p>
        </w:tc>
        <w:tc>
          <w:tcPr>
            <w:tcW w:w="1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621D3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Satisfeitos (%)</w:t>
            </w:r>
          </w:p>
        </w:tc>
        <w:tc>
          <w:tcPr>
            <w:tcW w:w="29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C6A2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Sairia se exigissem 100% presencial (%)</w:t>
            </w:r>
          </w:p>
        </w:tc>
      </w:tr>
      <w:tr w:rsidR="00231363" w:rsidRPr="00956A22" w14:paraId="5C58B35A" w14:textId="77777777" w:rsidTr="00D861EB">
        <w:trPr>
          <w:cantSplit/>
        </w:trPr>
        <w:tc>
          <w:tcPr>
            <w:tcW w:w="2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45D50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Remoto</w:t>
            </w:r>
          </w:p>
        </w:tc>
        <w:tc>
          <w:tcPr>
            <w:tcW w:w="13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CA87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39,6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6E3D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14.538</w:t>
            </w:r>
          </w:p>
        </w:tc>
        <w:tc>
          <w:tcPr>
            <w:tcW w:w="1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FCBC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74,6</w:t>
            </w:r>
          </w:p>
        </w:tc>
        <w:tc>
          <w:tcPr>
            <w:tcW w:w="29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98A3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92,9</w:t>
            </w:r>
          </w:p>
        </w:tc>
      </w:tr>
      <w:tr w:rsidR="00231363" w:rsidRPr="00956A22" w14:paraId="1701A828" w14:textId="77777777" w:rsidTr="00D861EB">
        <w:trPr>
          <w:cantSplit/>
        </w:trPr>
        <w:tc>
          <w:tcPr>
            <w:tcW w:w="2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56D32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Híbrido flexível</w:t>
            </w:r>
          </w:p>
        </w:tc>
        <w:tc>
          <w:tcPr>
            <w:tcW w:w="13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AE76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19,6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C959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14.684</w:t>
            </w:r>
          </w:p>
        </w:tc>
        <w:tc>
          <w:tcPr>
            <w:tcW w:w="1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391A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74,8</w:t>
            </w:r>
          </w:p>
        </w:tc>
        <w:tc>
          <w:tcPr>
            <w:tcW w:w="29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79EB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72,9</w:t>
            </w:r>
          </w:p>
        </w:tc>
      </w:tr>
      <w:tr w:rsidR="00231363" w:rsidRPr="00956A22" w14:paraId="40EF4362" w14:textId="77777777" w:rsidTr="00D861EB">
        <w:trPr>
          <w:cantSplit/>
        </w:trPr>
        <w:tc>
          <w:tcPr>
            <w:tcW w:w="2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CC4C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Híbrido com dias fixos</w:t>
            </w:r>
          </w:p>
        </w:tc>
        <w:tc>
          <w:tcPr>
            <w:tcW w:w="13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69DC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20,1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FA2B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12.625</w:t>
            </w:r>
          </w:p>
        </w:tc>
        <w:tc>
          <w:tcPr>
            <w:tcW w:w="1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18AD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67,8</w:t>
            </w:r>
          </w:p>
        </w:tc>
        <w:tc>
          <w:tcPr>
            <w:tcW w:w="29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81D78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69,0</w:t>
            </w:r>
          </w:p>
        </w:tc>
      </w:tr>
      <w:tr w:rsidR="00231363" w:rsidRPr="00956A22" w14:paraId="735B3911" w14:textId="77777777" w:rsidTr="00D861EB">
        <w:trPr>
          <w:cantSplit/>
        </w:trPr>
        <w:tc>
          <w:tcPr>
            <w:tcW w:w="22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8E8AF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Presencial</w:t>
            </w:r>
          </w:p>
        </w:tc>
        <w:tc>
          <w:tcPr>
            <w:tcW w:w="13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3528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20,7</w:t>
            </w:r>
          </w:p>
        </w:tc>
        <w:tc>
          <w:tcPr>
            <w:tcW w:w="17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0B29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9.120</w:t>
            </w:r>
          </w:p>
        </w:tc>
        <w:tc>
          <w:tcPr>
            <w:tcW w:w="15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F5C1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54,3</w:t>
            </w:r>
          </w:p>
        </w:tc>
        <w:tc>
          <w:tcPr>
            <w:tcW w:w="29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D8CB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32,1</w:t>
            </w:r>
          </w:p>
        </w:tc>
      </w:tr>
    </w:tbl>
    <w:p w14:paraId="0DA9280E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2D7263B3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 remoto caiu de 46,3% em 2023 para 39,6% em 2025, e o presencial subiu de 16,6% para 20,7%. Dos 663 presenciais de 2025, só 39 preferem continuar assim, e 290 preferem híbrido flexível.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2133"/>
        <w:gridCol w:w="2133"/>
        <w:gridCol w:w="2134"/>
      </w:tblGrid>
      <w:tr w:rsidR="00231363" w:rsidRPr="00956A22" w14:paraId="10DEC96C" w14:textId="77777777" w:rsidTr="00D861EB">
        <w:trPr>
          <w:cantSplit/>
          <w:tblHeader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78FDD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Região (2025, R$)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6CFD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Júnior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0AB6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Pleno</w:t>
            </w:r>
          </w:p>
        </w:tc>
        <w:tc>
          <w:tcPr>
            <w:tcW w:w="2134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B38C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Sênior</w:t>
            </w:r>
          </w:p>
        </w:tc>
      </w:tr>
      <w:tr w:rsidR="00231363" w:rsidRPr="00956A22" w14:paraId="1AD3C503" w14:textId="77777777" w:rsidTr="00D861EB">
        <w:trPr>
          <w:cantSplit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1E982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Sudeste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7FFA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4.298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8C62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8.009</w:t>
            </w:r>
          </w:p>
        </w:tc>
        <w:tc>
          <w:tcPr>
            <w:tcW w:w="2134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6771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13.760</w:t>
            </w:r>
          </w:p>
        </w:tc>
      </w:tr>
      <w:tr w:rsidR="00231363" w:rsidRPr="00956A22" w14:paraId="7202741B" w14:textId="77777777" w:rsidTr="00D861EB">
        <w:trPr>
          <w:cantSplit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9D024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Sul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2DCEE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3.982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266D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8.578</w:t>
            </w:r>
          </w:p>
        </w:tc>
        <w:tc>
          <w:tcPr>
            <w:tcW w:w="2134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0DBF1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13.739</w:t>
            </w:r>
          </w:p>
        </w:tc>
      </w:tr>
      <w:tr w:rsidR="00231363" w:rsidRPr="00956A22" w14:paraId="057CAAD2" w14:textId="77777777" w:rsidTr="00D861EB">
        <w:trPr>
          <w:cantSplit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D1B8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Centro-oeste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6F83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4.192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D49D2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8.173</w:t>
            </w:r>
          </w:p>
        </w:tc>
        <w:tc>
          <w:tcPr>
            <w:tcW w:w="2134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5D01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14.617</w:t>
            </w:r>
          </w:p>
        </w:tc>
      </w:tr>
      <w:tr w:rsidR="00231363" w:rsidRPr="00956A22" w14:paraId="20664BF4" w14:textId="77777777" w:rsidTr="00D861EB">
        <w:trPr>
          <w:cantSplit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1F110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Nordeste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9C42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3.758</w:t>
            </w:r>
          </w:p>
        </w:tc>
        <w:tc>
          <w:tcPr>
            <w:tcW w:w="2133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822F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7.651</w:t>
            </w:r>
          </w:p>
        </w:tc>
        <w:tc>
          <w:tcPr>
            <w:tcW w:w="2134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1C95A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13.924</w:t>
            </w:r>
          </w:p>
        </w:tc>
      </w:tr>
    </w:tbl>
    <w:p w14:paraId="0F7C8358" w14:textId="77777777" w:rsidR="00231363" w:rsidRPr="00956A22" w:rsidRDefault="00231363" w:rsidP="00231363">
      <w:pPr>
        <w:spacing w:after="140"/>
        <w:rPr>
          <w:rFonts w:ascii="Arial" w:hAnsi="Arial" w:cs="Arial"/>
        </w:rPr>
      </w:pPr>
      <w:r w:rsidRPr="00956A22">
        <w:rPr>
          <w:rFonts w:ascii="Arial" w:hAnsi="Arial" w:cs="Arial"/>
          <w:sz w:val="19"/>
          <w:szCs w:val="19"/>
        </w:rPr>
        <w:t>O Norte não aparece porque nenhum nível chega a 30 pessoas.</w:t>
      </w:r>
    </w:p>
    <w:p w14:paraId="36C7872F" w14:textId="68E688FA" w:rsidR="00231363" w:rsidRPr="00956A22" w:rsidRDefault="00480E80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A</w:t>
      </w:r>
      <w:r w:rsidR="00231363" w:rsidRPr="00956A22">
        <w:rPr>
          <w:rFonts w:ascii="Arial" w:hAnsi="Arial" w:cs="Arial"/>
        </w:rPr>
        <w:t xml:space="preserve"> diferença regional no salário médio geral vem mais da quantidade de seniores em cada região do que de pagar menos pelo mesmo nível; isso é interpretação a partir da tabela. A exceção é Gestor no Nordeste (R$ 14.539 contra R$ 21.006 no Sudeste, amostra de 63 pessoas).</w:t>
      </w:r>
    </w:p>
    <w:p w14:paraId="1F99E31A" w14:textId="77777777" w:rsidR="00231363" w:rsidRPr="00A26949" w:rsidRDefault="00231363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2" w:name="_Toc243936778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4.7 Oportunidades e desafios para investir em dados e IA</w:t>
      </w:r>
      <w:bookmarkEnd w:id="12"/>
    </w:p>
    <w:p w14:paraId="6DAA2BCB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 setor financeiro já paga e retém melhor. A maior oportunidade é levar IA do piloto à produção, e o maior risco é perder talentos escassos.</w:t>
      </w:r>
    </w:p>
    <w:p w14:paraId="345EF24C" w14:textId="77777777" w:rsidR="00231363" w:rsidRPr="00956A22" w:rsidRDefault="00231363" w:rsidP="00231363">
      <w:pPr>
        <w:keepNext/>
        <w:spacing w:before="120" w:after="6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noProof/>
        </w:rPr>
        <w:lastRenderedPageBreak/>
        <w:drawing>
          <wp:inline distT="0" distB="0" distL="0" distR="0" wp14:anchorId="1D232F97" wp14:editId="69E58706">
            <wp:extent cx="5905500" cy="3924300"/>
            <wp:effectExtent l="0" t="0" r="0" b="0"/>
            <wp:docPr id="1318092333" name="p7_oportunidades_desafios.png" descr="Figura 9. Setor financeiro contra demais setores (salário e satisfação) e desafios dos gestores em 2025. Gráfico gerado no Glue Notebook." title="Figura 9. Setor financeiro contra demais setores (salário e satisfação) e desafios dos gestores em 2025. Gráfico gerado no Glue Noteboo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28A6" w14:textId="77777777" w:rsidR="00231363" w:rsidRPr="00956A22" w:rsidRDefault="00231363" w:rsidP="00231363">
      <w:pPr>
        <w:spacing w:after="200"/>
        <w:jc w:val="center"/>
        <w:rPr>
          <w:rFonts w:ascii="Arial" w:hAnsi="Arial" w:cs="Arial"/>
        </w:rPr>
      </w:pPr>
      <w:r w:rsidRPr="00956A22">
        <w:rPr>
          <w:rFonts w:ascii="Arial" w:hAnsi="Arial" w:cs="Arial"/>
          <w:i/>
          <w:iCs/>
          <w:sz w:val="18"/>
          <w:szCs w:val="18"/>
        </w:rPr>
        <w:t xml:space="preserve">Figura 9. Setor financeiro contra demais setores (salário e satisfação) e desafios dos gestores em 2025. Gráfico gerado no </w:t>
      </w:r>
      <w:proofErr w:type="spellStart"/>
      <w:r w:rsidRPr="00956A22">
        <w:rPr>
          <w:rFonts w:ascii="Arial" w:hAnsi="Arial" w:cs="Arial"/>
          <w:i/>
          <w:iCs/>
          <w:sz w:val="18"/>
          <w:szCs w:val="18"/>
        </w:rPr>
        <w:t>Glue</w:t>
      </w:r>
      <w:proofErr w:type="spellEnd"/>
      <w:r w:rsidRPr="00956A22">
        <w:rPr>
          <w:rFonts w:ascii="Arial" w:hAnsi="Arial" w:cs="Arial"/>
          <w:i/>
          <w:iCs/>
          <w:sz w:val="18"/>
          <w:szCs w:val="18"/>
        </w:rPr>
        <w:t xml:space="preserve"> Notebook.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600"/>
        <w:gridCol w:w="1600"/>
        <w:gridCol w:w="1600"/>
        <w:gridCol w:w="1600"/>
      </w:tblGrid>
      <w:tr w:rsidR="00231363" w:rsidRPr="00956A22" w14:paraId="5DA154F2" w14:textId="77777777" w:rsidTr="00D861EB">
        <w:trPr>
          <w:cantSplit/>
          <w:tblHeader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E3661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Indicador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90B6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Finanças 2023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7DC17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Demais 2023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33E7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Finanças 2025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11CF9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Demais 2025</w:t>
            </w:r>
          </w:p>
        </w:tc>
      </w:tr>
      <w:tr w:rsidR="00231363" w:rsidRPr="00956A22" w14:paraId="24B8B2E4" w14:textId="77777777" w:rsidTr="00D861EB">
        <w:trPr>
          <w:cantSplit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4B59D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Salário médio (R$)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7F884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11.310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5A77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10.227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5321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14.445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FF50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12.743</w:t>
            </w:r>
          </w:p>
        </w:tc>
      </w:tr>
      <w:tr w:rsidR="00231363" w:rsidRPr="00956A22" w14:paraId="4BD8E452" w14:textId="77777777" w:rsidTr="00D861EB">
        <w:trPr>
          <w:cantSplit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38D0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Satisfeitos (%)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601DC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79,2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2373B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70,2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D91E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75,8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2F8A0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67,4</w:t>
            </w:r>
          </w:p>
        </w:tc>
      </w:tr>
      <w:tr w:rsidR="00231363" w:rsidRPr="00956A22" w14:paraId="11560766" w14:textId="77777777" w:rsidTr="00D861EB">
        <w:trPr>
          <w:cantSplit/>
        </w:trPr>
        <w:tc>
          <w:tcPr>
            <w:tcW w:w="32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C0198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Usa IA para produtividade (%)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5FBF5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74,8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FDABF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82,5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784DD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98,1</w:t>
            </w:r>
          </w:p>
        </w:tc>
        <w:tc>
          <w:tcPr>
            <w:tcW w:w="1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0E3F6" w14:textId="77777777" w:rsidR="00231363" w:rsidRPr="00956A22" w:rsidRDefault="00231363" w:rsidP="00D861EB">
            <w:pPr>
              <w:jc w:val="center"/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98,2</w:t>
            </w:r>
          </w:p>
        </w:tc>
      </w:tr>
    </w:tbl>
    <w:p w14:paraId="2C667BEB" w14:textId="77777777" w:rsidR="00231363" w:rsidRPr="00956A22" w:rsidRDefault="00231363" w:rsidP="00231363">
      <w:pPr>
        <w:spacing w:after="140"/>
        <w:rPr>
          <w:rFonts w:ascii="Arial" w:hAnsi="Arial" w:cs="Arial"/>
        </w:rPr>
      </w:pPr>
      <w:r w:rsidRPr="00956A22">
        <w:rPr>
          <w:rFonts w:ascii="Arial" w:hAnsi="Arial" w:cs="Arial"/>
          <w:sz w:val="19"/>
          <w:szCs w:val="19"/>
        </w:rPr>
        <w:t>Satisfação sem os respondentes de nível “Não informado”, que não receberam a pergunta. A tabela de ocupados usada na análise de perguntas de negócio dá 76,1% e 68,1% em 2025; a conclusão (cerca de 8 pontos a favor de finanças) é a mesma.</w:t>
      </w:r>
    </w:p>
    <w:p w14:paraId="72ACB21F" w14:textId="3CF9E384" w:rsidR="00231363" w:rsidRPr="00A26949" w:rsidRDefault="00A26949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3" w:name="_Toc243936779"/>
      <w:r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4.8 </w:t>
      </w:r>
      <w:r w:rsidR="00231363"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Oportunidades</w:t>
      </w:r>
      <w:bookmarkEnd w:id="13"/>
    </w:p>
    <w:p w14:paraId="663A419A" w14:textId="77777777" w:rsidR="00231363" w:rsidRPr="00956A22" w:rsidRDefault="00231363" w:rsidP="00231363">
      <w:pPr>
        <w:pStyle w:val="PargrafodaLista"/>
        <w:numPr>
          <w:ilvl w:val="0"/>
          <w:numId w:val="2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Levar IA à produção: só 26,5% das empresas têm IA generativa em produção. As duas maiores barreiras são expertise (38,8%) e dados não prontos (36,8%).</w:t>
      </w:r>
    </w:p>
    <w:p w14:paraId="63F391FA" w14:textId="77777777" w:rsidR="00231363" w:rsidRPr="00956A22" w:rsidRDefault="00231363" w:rsidP="00231363">
      <w:pPr>
        <w:pStyle w:val="PargrafodaLista"/>
        <w:numPr>
          <w:ilvl w:val="0"/>
          <w:numId w:val="2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Base de dados primeiro: investir em plataforma e qualidade de dados ataca a barreira “dados não prontos”.</w:t>
      </w:r>
    </w:p>
    <w:p w14:paraId="12340647" w14:textId="77777777" w:rsidR="00231363" w:rsidRPr="00956A22" w:rsidRDefault="00231363" w:rsidP="00231363">
      <w:pPr>
        <w:pStyle w:val="PargrafodaLista"/>
        <w:numPr>
          <w:ilvl w:val="0"/>
          <w:numId w:val="2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Stack com mercado amplo: AWS (48,3%), </w:t>
      </w:r>
      <w:proofErr w:type="spellStart"/>
      <w:r w:rsidRPr="00956A22">
        <w:rPr>
          <w:rFonts w:ascii="Arial" w:hAnsi="Arial" w:cs="Arial"/>
        </w:rPr>
        <w:t>Databricks</w:t>
      </w:r>
      <w:proofErr w:type="spellEnd"/>
      <w:r w:rsidRPr="00956A22">
        <w:rPr>
          <w:rFonts w:ascii="Arial" w:hAnsi="Arial" w:cs="Arial"/>
        </w:rPr>
        <w:t xml:space="preserve"> (32,9%), PostgreSQL (36,8%), Python e Power BI (59,0%) concentram a adoção, o que facilita contratar e capacitar.</w:t>
      </w:r>
    </w:p>
    <w:p w14:paraId="70E19F31" w14:textId="77777777" w:rsidR="00231363" w:rsidRPr="00956A22" w:rsidRDefault="00231363" w:rsidP="00231363">
      <w:pPr>
        <w:pStyle w:val="PargrafodaLista"/>
        <w:numPr>
          <w:ilvl w:val="0"/>
          <w:numId w:val="2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Ferramentas de IA pagas pela empresa: já são 42,3% em 2025, contra 6,4% em 2023; deixaram de ser diferencial e viraram expectativa.</w:t>
      </w:r>
    </w:p>
    <w:p w14:paraId="1AA50CFE" w14:textId="77777777" w:rsidR="00231363" w:rsidRPr="00956A22" w:rsidRDefault="00231363" w:rsidP="00231363">
      <w:pPr>
        <w:pStyle w:val="PargrafodaLista"/>
        <w:numPr>
          <w:ilvl w:val="0"/>
          <w:numId w:val="2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Atração: o setor financeiro paga 13% acima dos demais em 2025 e tem satisfação cerca de 8 pontos maior.</w:t>
      </w:r>
    </w:p>
    <w:p w14:paraId="48F03F38" w14:textId="4FFBEE50" w:rsidR="00231363" w:rsidRPr="00A26949" w:rsidRDefault="00A26949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4" w:name="_Toc243936780"/>
      <w:r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4.9 </w:t>
      </w:r>
      <w:r w:rsidR="00231363"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Desafios</w:t>
      </w:r>
      <w:bookmarkEnd w:id="14"/>
    </w:p>
    <w:p w14:paraId="43B6241B" w14:textId="77777777" w:rsidR="00231363" w:rsidRPr="00956A22" w:rsidRDefault="00231363" w:rsidP="00231363">
      <w:pPr>
        <w:pStyle w:val="PargrafodaLista"/>
        <w:numPr>
          <w:ilvl w:val="0"/>
          <w:numId w:val="3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Talento de IA escasso e caro: Engenharia de ML/IA ganha R$ 18,6 mil em média, com alta de 19% em um ano.</w:t>
      </w:r>
    </w:p>
    <w:p w14:paraId="3D93F4B4" w14:textId="77777777" w:rsidR="00231363" w:rsidRPr="00956A22" w:rsidRDefault="00231363" w:rsidP="00231363">
      <w:pPr>
        <w:pStyle w:val="PargrafodaLista"/>
        <w:numPr>
          <w:ilvl w:val="0"/>
          <w:numId w:val="3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lastRenderedPageBreak/>
        <w:t>Retenção: 75,2% dos ocupados buscam emprego (34,5%) ou estão abertos a propostas (40,7%). Os critérios mais citados para escolher emprego são salário (83,2%) e trabalho remoto (56,6%).</w:t>
      </w:r>
    </w:p>
    <w:p w14:paraId="701F6F82" w14:textId="77777777" w:rsidR="00231363" w:rsidRPr="00956A22" w:rsidRDefault="00231363" w:rsidP="00231363">
      <w:pPr>
        <w:pStyle w:val="PargrafodaLista"/>
        <w:numPr>
          <w:ilvl w:val="0"/>
          <w:numId w:val="3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Modelo de trabalho: exigir presença integral levaria 92,9% dos remotos a procurar outro emprego.</w:t>
      </w:r>
    </w:p>
    <w:p w14:paraId="0105D16E" w14:textId="77777777" w:rsidR="00231363" w:rsidRPr="00956A22" w:rsidRDefault="00231363" w:rsidP="00231363">
      <w:pPr>
        <w:pStyle w:val="PargrafodaLista"/>
        <w:numPr>
          <w:ilvl w:val="0"/>
          <w:numId w:val="3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Diversidade: mulheres são 22,0% e ganham 18,6% menos no nível Sênior; a participação caiu desde 2023.</w:t>
      </w:r>
    </w:p>
    <w:p w14:paraId="57401E89" w14:textId="77777777" w:rsidR="00231363" w:rsidRPr="00956A22" w:rsidRDefault="00231363" w:rsidP="00231363">
      <w:pPr>
        <w:pStyle w:val="PargrafodaLista"/>
        <w:numPr>
          <w:ilvl w:val="0"/>
          <w:numId w:val="3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Gestão de dados: os principais desafios dos gestores são dividir tempo entre entregas técnicas e gestão (36,4%, era 29,4% em 2023) e administrar expectativas do negócio (33,3%), seguidos de projetos multidisciplinares (29,1%), gerar valor para o negócio (23,5%) e organizar informações com qualidade (21,6%).</w:t>
      </w:r>
    </w:p>
    <w:p w14:paraId="04221FF9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33855506" w14:textId="6F52A9EA" w:rsidR="00231363" w:rsidRPr="00A26949" w:rsidRDefault="00956A22" w:rsidP="00231363">
      <w:pPr>
        <w:pStyle w:val="Ttulo1"/>
        <w:rPr>
          <w:rFonts w:ascii="Arial" w:hAnsi="Arial" w:cs="Arial"/>
          <w:b/>
          <w:bCs/>
          <w:color w:val="auto"/>
        </w:rPr>
      </w:pPr>
      <w:bookmarkStart w:id="15" w:name="_Toc243936781"/>
      <w:r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5</w:t>
      </w:r>
      <w:r w:rsidR="00231363"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. Informes técnicos</w:t>
      </w:r>
      <w:bookmarkEnd w:id="15"/>
    </w:p>
    <w:p w14:paraId="1D1B9170" w14:textId="21612286" w:rsidR="00231363" w:rsidRPr="00A26949" w:rsidRDefault="00956A22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6" w:name="_Toc243936782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5</w:t>
      </w:r>
      <w:r w:rsidR="00231363"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.1 Pipeline e consultas</w:t>
      </w:r>
      <w:bookmarkEnd w:id="16"/>
    </w:p>
    <w:p w14:paraId="45A72963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Armazenamento: </w:t>
      </w:r>
      <w:proofErr w:type="spellStart"/>
      <w:r w:rsidRPr="00956A22">
        <w:rPr>
          <w:rFonts w:ascii="Arial" w:hAnsi="Arial" w:cs="Arial"/>
        </w:rPr>
        <w:t>Amazon</w:t>
      </w:r>
      <w:proofErr w:type="spellEnd"/>
      <w:r w:rsidRPr="00956A22">
        <w:rPr>
          <w:rFonts w:ascii="Arial" w:hAnsi="Arial" w:cs="Arial"/>
        </w:rPr>
        <w:t xml:space="preserve"> S3, com prefixos landing/, bronze/, </w:t>
      </w:r>
      <w:proofErr w:type="spellStart"/>
      <w:r w:rsidRPr="00956A22">
        <w:rPr>
          <w:rFonts w:ascii="Arial" w:hAnsi="Arial" w:cs="Arial"/>
        </w:rPr>
        <w:t>silver</w:t>
      </w:r>
      <w:proofErr w:type="spellEnd"/>
      <w:r w:rsidRPr="00956A22">
        <w:rPr>
          <w:rFonts w:ascii="Arial" w:hAnsi="Arial" w:cs="Arial"/>
        </w:rPr>
        <w:t xml:space="preserve">/, </w:t>
      </w:r>
      <w:proofErr w:type="spellStart"/>
      <w:r w:rsidRPr="00956A22">
        <w:rPr>
          <w:rFonts w:ascii="Arial" w:hAnsi="Arial" w:cs="Arial"/>
        </w:rPr>
        <w:t>gold</w:t>
      </w:r>
      <w:proofErr w:type="spellEnd"/>
      <w:r w:rsidRPr="00956A22">
        <w:rPr>
          <w:rFonts w:ascii="Arial" w:hAnsi="Arial" w:cs="Arial"/>
        </w:rPr>
        <w:t xml:space="preserve">/, </w:t>
      </w:r>
      <w:proofErr w:type="spellStart"/>
      <w:r w:rsidRPr="00956A22">
        <w:rPr>
          <w:rFonts w:ascii="Arial" w:hAnsi="Arial" w:cs="Arial"/>
        </w:rPr>
        <w:t>athena-results</w:t>
      </w:r>
      <w:proofErr w:type="spellEnd"/>
      <w:r w:rsidRPr="00956A22">
        <w:rPr>
          <w:rFonts w:ascii="Arial" w:hAnsi="Arial" w:cs="Arial"/>
        </w:rPr>
        <w:t xml:space="preserve">/, scripts/, notebooks/ e </w:t>
      </w:r>
      <w:proofErr w:type="spellStart"/>
      <w:r w:rsidRPr="00956A22">
        <w:rPr>
          <w:rFonts w:ascii="Arial" w:hAnsi="Arial" w:cs="Arial"/>
        </w:rPr>
        <w:t>graficos</w:t>
      </w:r>
      <w:proofErr w:type="spellEnd"/>
      <w:r w:rsidRPr="00956A22">
        <w:rPr>
          <w:rFonts w:ascii="Arial" w:hAnsi="Arial" w:cs="Arial"/>
        </w:rPr>
        <w:t>/.</w:t>
      </w:r>
    </w:p>
    <w:p w14:paraId="38EBA18B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Processamento: três Jobs do AWS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em </w:t>
      </w:r>
      <w:proofErr w:type="spellStart"/>
      <w:r w:rsidRPr="00956A22">
        <w:rPr>
          <w:rFonts w:ascii="Arial" w:hAnsi="Arial" w:cs="Arial"/>
        </w:rPr>
        <w:t>PySpark</w:t>
      </w:r>
      <w:proofErr w:type="spellEnd"/>
      <w:r w:rsidRPr="00956A22">
        <w:rPr>
          <w:rFonts w:ascii="Arial" w:hAnsi="Arial" w:cs="Arial"/>
        </w:rPr>
        <w:t xml:space="preserve"> (Bronze, Silver e Gold), com logs no </w:t>
      </w:r>
      <w:proofErr w:type="spellStart"/>
      <w:r w:rsidRPr="00956A22">
        <w:rPr>
          <w:rFonts w:ascii="Arial" w:hAnsi="Arial" w:cs="Arial"/>
        </w:rPr>
        <w:t>CloudWatch</w:t>
      </w:r>
      <w:proofErr w:type="spellEnd"/>
      <w:r w:rsidRPr="00956A22">
        <w:rPr>
          <w:rFonts w:ascii="Arial" w:hAnsi="Arial" w:cs="Arial"/>
        </w:rPr>
        <w:t xml:space="preserve"> e permissões pela </w:t>
      </w:r>
      <w:proofErr w:type="spellStart"/>
      <w:r w:rsidRPr="00956A22">
        <w:rPr>
          <w:rFonts w:ascii="Arial" w:hAnsi="Arial" w:cs="Arial"/>
        </w:rPr>
        <w:t>LabRole</w:t>
      </w:r>
      <w:proofErr w:type="spellEnd"/>
      <w:r w:rsidRPr="00956A22">
        <w:rPr>
          <w:rFonts w:ascii="Arial" w:hAnsi="Arial" w:cs="Arial"/>
        </w:rPr>
        <w:t xml:space="preserve"> do AWS </w:t>
      </w:r>
      <w:proofErr w:type="spellStart"/>
      <w:r w:rsidRPr="00956A22">
        <w:rPr>
          <w:rFonts w:ascii="Arial" w:hAnsi="Arial" w:cs="Arial"/>
        </w:rPr>
        <w:t>Academy</w:t>
      </w:r>
      <w:proofErr w:type="spellEnd"/>
      <w:r w:rsidRPr="00956A22">
        <w:rPr>
          <w:rFonts w:ascii="Arial" w:hAnsi="Arial" w:cs="Arial"/>
        </w:rPr>
        <w:t xml:space="preserve"> </w:t>
      </w:r>
      <w:proofErr w:type="spellStart"/>
      <w:r w:rsidRPr="00956A22">
        <w:rPr>
          <w:rFonts w:ascii="Arial" w:hAnsi="Arial" w:cs="Arial"/>
        </w:rPr>
        <w:t>Learner</w:t>
      </w:r>
      <w:proofErr w:type="spellEnd"/>
      <w:r w:rsidRPr="00956A22">
        <w:rPr>
          <w:rFonts w:ascii="Arial" w:hAnsi="Arial" w:cs="Arial"/>
        </w:rPr>
        <w:t xml:space="preserve"> </w:t>
      </w:r>
      <w:proofErr w:type="spellStart"/>
      <w:r w:rsidRPr="00956A22">
        <w:rPr>
          <w:rFonts w:ascii="Arial" w:hAnsi="Arial" w:cs="Arial"/>
        </w:rPr>
        <w:t>Lab</w:t>
      </w:r>
      <w:proofErr w:type="spellEnd"/>
      <w:r w:rsidRPr="00956A22">
        <w:rPr>
          <w:rFonts w:ascii="Arial" w:hAnsi="Arial" w:cs="Arial"/>
        </w:rPr>
        <w:t xml:space="preserve"> (us-east-1).</w:t>
      </w:r>
    </w:p>
    <w:p w14:paraId="42A11E86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Catálogo e consulta: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Data </w:t>
      </w:r>
      <w:proofErr w:type="spellStart"/>
      <w:r w:rsidRPr="00956A22">
        <w:rPr>
          <w:rFonts w:ascii="Arial" w:hAnsi="Arial" w:cs="Arial"/>
        </w:rPr>
        <w:t>Catalog</w:t>
      </w:r>
      <w:proofErr w:type="spellEnd"/>
      <w:r w:rsidRPr="00956A22">
        <w:rPr>
          <w:rFonts w:ascii="Arial" w:hAnsi="Arial" w:cs="Arial"/>
        </w:rPr>
        <w:t xml:space="preserve"> com 12 tabelas no banco </w:t>
      </w:r>
      <w:proofErr w:type="spellStart"/>
      <w:r w:rsidRPr="00956A22">
        <w:rPr>
          <w:rFonts w:ascii="Arial" w:hAnsi="Arial" w:cs="Arial"/>
        </w:rPr>
        <w:t>db_state_of_data</w:t>
      </w:r>
      <w:proofErr w:type="spellEnd"/>
      <w:r w:rsidRPr="00956A22">
        <w:rPr>
          <w:rFonts w:ascii="Arial" w:hAnsi="Arial" w:cs="Arial"/>
        </w:rPr>
        <w:t xml:space="preserve"> (4 Bronze, 2 Silver e 6 Gold); </w:t>
      </w:r>
      <w:proofErr w:type="spellStart"/>
      <w:r w:rsidRPr="00956A22">
        <w:rPr>
          <w:rFonts w:ascii="Arial" w:hAnsi="Arial" w:cs="Arial"/>
        </w:rPr>
        <w:t>Amazon</w:t>
      </w:r>
      <w:proofErr w:type="spellEnd"/>
      <w:r w:rsidRPr="00956A22">
        <w:rPr>
          <w:rFonts w:ascii="Arial" w:hAnsi="Arial" w:cs="Arial"/>
        </w:rPr>
        <w:t xml:space="preserve"> Athena para SQL.</w:t>
      </w:r>
    </w:p>
    <w:p w14:paraId="3A1CCA08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Validação: 24 checagens no Athena sobre contagens e totais das camadas, todas iguais ao esperado. Os números das sete respostas vêm de 32 consultas SQL sobre as tabelas Gold.</w:t>
      </w:r>
    </w:p>
    <w:p w14:paraId="7D7F5617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Consultas dos gráficos: arquivos consultas_athena_P1_a_P7.sql e </w:t>
      </w:r>
      <w:proofErr w:type="spellStart"/>
      <w:r w:rsidRPr="00956A22">
        <w:rPr>
          <w:rFonts w:ascii="Arial" w:hAnsi="Arial" w:cs="Arial"/>
        </w:rPr>
        <w:t>consultas_athena_ajustes.sql</w:t>
      </w:r>
      <w:proofErr w:type="spellEnd"/>
      <w:r w:rsidRPr="00956A22">
        <w:rPr>
          <w:rFonts w:ascii="Arial" w:hAnsi="Arial" w:cs="Arial"/>
        </w:rPr>
        <w:t>, rodados no Athena para validar os números antes do notebook.</w:t>
      </w:r>
    </w:p>
    <w:p w14:paraId="1916B19C" w14:textId="213959F7" w:rsidR="00231363" w:rsidRPr="00A26949" w:rsidRDefault="00956A22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7" w:name="_Toc243936783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5</w:t>
      </w:r>
      <w:r w:rsidR="00231363"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.2 Como os gráficos foram gerados</w:t>
      </w:r>
      <w:bookmarkEnd w:id="17"/>
    </w:p>
    <w:p w14:paraId="16A86DE3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Os oito gráficos foram gerados no AWS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Notebook, aberto no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Studio com o kernel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</w:t>
      </w:r>
      <w:proofErr w:type="spellStart"/>
      <w:r w:rsidRPr="00956A22">
        <w:rPr>
          <w:rFonts w:ascii="Arial" w:hAnsi="Arial" w:cs="Arial"/>
        </w:rPr>
        <w:t>PySpark</w:t>
      </w:r>
      <w:proofErr w:type="spellEnd"/>
      <w:r w:rsidRPr="00956A22">
        <w:rPr>
          <w:rFonts w:ascii="Arial" w:hAnsi="Arial" w:cs="Arial"/>
        </w:rPr>
        <w:t>. O notebook segue este fluxo:</w:t>
      </w:r>
    </w:p>
    <w:p w14:paraId="568C6A7D" w14:textId="77777777" w:rsidR="00231363" w:rsidRPr="00956A22" w:rsidRDefault="00231363" w:rsidP="00231363">
      <w:pPr>
        <w:pStyle w:val="PargrafodaLista"/>
        <w:numPr>
          <w:ilvl w:val="0"/>
          <w:numId w:val="4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Configuração da sessão: </w:t>
      </w:r>
      <w:proofErr w:type="spellStart"/>
      <w:r w:rsidRPr="00956A22">
        <w:rPr>
          <w:rFonts w:ascii="Arial" w:hAnsi="Arial" w:cs="Arial"/>
        </w:rPr>
        <w:t>Glue</w:t>
      </w:r>
      <w:proofErr w:type="spellEnd"/>
      <w:r w:rsidRPr="00956A22">
        <w:rPr>
          <w:rFonts w:ascii="Arial" w:hAnsi="Arial" w:cs="Arial"/>
        </w:rPr>
        <w:t xml:space="preserve"> 5.1, tipo de </w:t>
      </w:r>
      <w:proofErr w:type="spellStart"/>
      <w:r w:rsidRPr="00956A22">
        <w:rPr>
          <w:rFonts w:ascii="Arial" w:hAnsi="Arial" w:cs="Arial"/>
        </w:rPr>
        <w:t>worker</w:t>
      </w:r>
      <w:proofErr w:type="spellEnd"/>
      <w:r w:rsidRPr="00956A22">
        <w:rPr>
          <w:rFonts w:ascii="Arial" w:hAnsi="Arial" w:cs="Arial"/>
        </w:rPr>
        <w:t xml:space="preserve"> G.1X, 2 </w:t>
      </w:r>
      <w:proofErr w:type="spellStart"/>
      <w:r w:rsidRPr="00956A22">
        <w:rPr>
          <w:rFonts w:ascii="Arial" w:hAnsi="Arial" w:cs="Arial"/>
        </w:rPr>
        <w:t>workers</w:t>
      </w:r>
      <w:proofErr w:type="spellEnd"/>
      <w:r w:rsidRPr="00956A22">
        <w:rPr>
          <w:rFonts w:ascii="Arial" w:hAnsi="Arial" w:cs="Arial"/>
        </w:rPr>
        <w:t xml:space="preserve"> e encerramento por inatividade de 60 minutos, para controlar o custo no </w:t>
      </w:r>
      <w:proofErr w:type="spellStart"/>
      <w:r w:rsidRPr="00956A22">
        <w:rPr>
          <w:rFonts w:ascii="Arial" w:hAnsi="Arial" w:cs="Arial"/>
        </w:rPr>
        <w:t>Learner</w:t>
      </w:r>
      <w:proofErr w:type="spellEnd"/>
      <w:r w:rsidRPr="00956A22">
        <w:rPr>
          <w:rFonts w:ascii="Arial" w:hAnsi="Arial" w:cs="Arial"/>
        </w:rPr>
        <w:t xml:space="preserve"> Lab. A biblioteca </w:t>
      </w:r>
      <w:proofErr w:type="spellStart"/>
      <w:r w:rsidRPr="00956A22">
        <w:rPr>
          <w:rFonts w:ascii="Arial" w:hAnsi="Arial" w:cs="Arial"/>
        </w:rPr>
        <w:t>matplotlib</w:t>
      </w:r>
      <w:proofErr w:type="spellEnd"/>
      <w:r w:rsidRPr="00956A22">
        <w:rPr>
          <w:rFonts w:ascii="Arial" w:hAnsi="Arial" w:cs="Arial"/>
        </w:rPr>
        <w:t xml:space="preserve"> é instalada pela sessão.</w:t>
      </w:r>
    </w:p>
    <w:p w14:paraId="63DE331F" w14:textId="77777777" w:rsidR="00231363" w:rsidRPr="00956A22" w:rsidRDefault="00231363" w:rsidP="00231363">
      <w:pPr>
        <w:pStyle w:val="PargrafodaLista"/>
        <w:numPr>
          <w:ilvl w:val="0"/>
          <w:numId w:val="4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Agregação em Spark: cada gráfico executa uma consulta com </w:t>
      </w:r>
      <w:proofErr w:type="spellStart"/>
      <w:r w:rsidRPr="00956A22">
        <w:rPr>
          <w:rFonts w:ascii="Arial" w:hAnsi="Arial" w:cs="Arial"/>
        </w:rPr>
        <w:t>spark.sql</w:t>
      </w:r>
      <w:proofErr w:type="spellEnd"/>
      <w:r w:rsidRPr="00956A22">
        <w:rPr>
          <w:rFonts w:ascii="Arial" w:hAnsi="Arial" w:cs="Arial"/>
        </w:rPr>
        <w:t xml:space="preserve"> sobre as tabelas Gold do catálogo, calculando médias ponderadas e percentuais no cluster.</w:t>
      </w:r>
    </w:p>
    <w:p w14:paraId="5E5C13D0" w14:textId="77777777" w:rsidR="00231363" w:rsidRPr="00956A22" w:rsidRDefault="00231363" w:rsidP="00231363">
      <w:pPr>
        <w:pStyle w:val="PargrafodaLista"/>
        <w:numPr>
          <w:ilvl w:val="0"/>
          <w:numId w:val="4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Conversão e desenho: o resultado, que é pequeno, é convertido para pandas, e o </w:t>
      </w:r>
      <w:proofErr w:type="spellStart"/>
      <w:r w:rsidRPr="00956A22">
        <w:rPr>
          <w:rFonts w:ascii="Arial" w:hAnsi="Arial" w:cs="Arial"/>
        </w:rPr>
        <w:t>matplotlib</w:t>
      </w:r>
      <w:proofErr w:type="spellEnd"/>
      <w:r w:rsidRPr="00956A22">
        <w:rPr>
          <w:rFonts w:ascii="Arial" w:hAnsi="Arial" w:cs="Arial"/>
        </w:rPr>
        <w:t xml:space="preserve"> desenha o gráfico. Colunas numéricas retornadas </w:t>
      </w:r>
      <w:proofErr w:type="gramStart"/>
      <w:r w:rsidRPr="00956A22">
        <w:rPr>
          <w:rFonts w:ascii="Arial" w:hAnsi="Arial" w:cs="Arial"/>
        </w:rPr>
        <w:t>como Decimal</w:t>
      </w:r>
      <w:proofErr w:type="gramEnd"/>
      <w:r w:rsidRPr="00956A22">
        <w:rPr>
          <w:rFonts w:ascii="Arial" w:hAnsi="Arial" w:cs="Arial"/>
        </w:rPr>
        <w:t xml:space="preserve"> são convertidas para </w:t>
      </w:r>
      <w:proofErr w:type="spellStart"/>
      <w:r w:rsidRPr="00956A22">
        <w:rPr>
          <w:rFonts w:ascii="Arial" w:hAnsi="Arial" w:cs="Arial"/>
        </w:rPr>
        <w:t>float</w:t>
      </w:r>
      <w:proofErr w:type="spellEnd"/>
      <w:r w:rsidRPr="00956A22">
        <w:rPr>
          <w:rFonts w:ascii="Arial" w:hAnsi="Arial" w:cs="Arial"/>
        </w:rPr>
        <w:t>.</w:t>
      </w:r>
    </w:p>
    <w:p w14:paraId="0D70ED74" w14:textId="77777777" w:rsidR="00231363" w:rsidRPr="00956A22" w:rsidRDefault="00231363" w:rsidP="00231363">
      <w:pPr>
        <w:pStyle w:val="PargrafodaLista"/>
        <w:numPr>
          <w:ilvl w:val="0"/>
          <w:numId w:val="4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Saída: cada gráfico é salvo como PNG na pasta </w:t>
      </w:r>
      <w:proofErr w:type="spellStart"/>
      <w:r w:rsidRPr="00956A22">
        <w:rPr>
          <w:rFonts w:ascii="Arial" w:hAnsi="Arial" w:cs="Arial"/>
        </w:rPr>
        <w:t>graficos</w:t>
      </w:r>
      <w:proofErr w:type="spellEnd"/>
      <w:r w:rsidRPr="00956A22">
        <w:rPr>
          <w:rFonts w:ascii="Arial" w:hAnsi="Arial" w:cs="Arial"/>
        </w:rPr>
        <w:t xml:space="preserve">/ do </w:t>
      </w:r>
      <w:proofErr w:type="spellStart"/>
      <w:r w:rsidRPr="00956A22">
        <w:rPr>
          <w:rFonts w:ascii="Arial" w:hAnsi="Arial" w:cs="Arial"/>
        </w:rPr>
        <w:t>bucket</w:t>
      </w:r>
      <w:proofErr w:type="spellEnd"/>
      <w:r w:rsidRPr="00956A22">
        <w:rPr>
          <w:rFonts w:ascii="Arial" w:hAnsi="Arial" w:cs="Arial"/>
        </w:rPr>
        <w:t xml:space="preserve"> do projeto e usado neste relatório.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31363" w:rsidRPr="00956A22" w14:paraId="2D23B474" w14:textId="77777777" w:rsidTr="00D861EB">
        <w:trPr>
          <w:cantSplit/>
          <w:tblHeader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23B48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Gráfico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8FF3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Tabela Gold e critério principal</w:t>
            </w:r>
          </w:p>
        </w:tc>
      </w:tr>
      <w:tr w:rsidR="00231363" w:rsidRPr="00956A22" w14:paraId="5C935077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E86F4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p1_estrutura_mercado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C1D0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gold_fato_mercado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; nível e cargo sem “Não informado”</w:t>
            </w:r>
          </w:p>
        </w:tc>
      </w:tr>
      <w:tr w:rsidR="00231363" w:rsidRPr="00956A22" w14:paraId="255119A0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2CFC8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p2_salarios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9EA60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gold_remuneracao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 xml:space="preserve">; média ponderada </w:t>
            </w:r>
            <w:proofErr w:type="gramStart"/>
            <w:r w:rsidRPr="00956A22">
              <w:rPr>
                <w:rFonts w:ascii="Arial" w:hAnsi="Arial" w:cs="Arial"/>
                <w:sz w:val="19"/>
                <w:szCs w:val="19"/>
              </w:rPr>
              <w:t>SUM(</w:t>
            </w:r>
            <w:proofErr w:type="spellStart"/>
            <w:proofErr w:type="gramEnd"/>
            <w:r w:rsidRPr="00956A22">
              <w:rPr>
                <w:rFonts w:ascii="Arial" w:hAnsi="Arial" w:cs="Arial"/>
                <w:sz w:val="19"/>
                <w:szCs w:val="19"/>
              </w:rPr>
              <w:t>soma_</w:t>
            </w:r>
            <w:proofErr w:type="gramStart"/>
            <w:r w:rsidRPr="00956A22">
              <w:rPr>
                <w:rFonts w:ascii="Arial" w:hAnsi="Arial" w:cs="Arial"/>
                <w:sz w:val="19"/>
                <w:szCs w:val="19"/>
              </w:rPr>
              <w:t>salario</w:t>
            </w:r>
            <w:proofErr w:type="gramEnd"/>
            <w:r w:rsidRPr="00956A22">
              <w:rPr>
                <w:rFonts w:ascii="Arial" w:hAnsi="Arial" w:cs="Arial"/>
                <w:sz w:val="19"/>
                <w:szCs w:val="19"/>
              </w:rPr>
              <w:t>_estimado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 xml:space="preserve">) / </w:t>
            </w:r>
            <w:proofErr w:type="gramStart"/>
            <w:r w:rsidRPr="00956A22">
              <w:rPr>
                <w:rFonts w:ascii="Arial" w:hAnsi="Arial" w:cs="Arial"/>
                <w:sz w:val="19"/>
                <w:szCs w:val="19"/>
              </w:rPr>
              <w:t>SUM(</w:t>
            </w:r>
            <w:proofErr w:type="spellStart"/>
            <w:proofErr w:type="gramEnd"/>
            <w:r w:rsidRPr="00956A22">
              <w:rPr>
                <w:rFonts w:ascii="Arial" w:hAnsi="Arial" w:cs="Arial"/>
                <w:sz w:val="19"/>
                <w:szCs w:val="19"/>
              </w:rPr>
              <w:t>qtd_com_</w:t>
            </w:r>
            <w:proofErr w:type="gramStart"/>
            <w:r w:rsidRPr="00956A22">
              <w:rPr>
                <w:rFonts w:ascii="Arial" w:hAnsi="Arial" w:cs="Arial"/>
                <w:sz w:val="19"/>
                <w:szCs w:val="19"/>
              </w:rPr>
              <w:t>salario</w:t>
            </w:r>
            <w:proofErr w:type="spellEnd"/>
            <w:proofErr w:type="gramEnd"/>
            <w:r w:rsidRPr="00956A22">
              <w:rPr>
                <w:rFonts w:ascii="Arial" w:hAnsi="Arial" w:cs="Arial"/>
                <w:sz w:val="19"/>
                <w:szCs w:val="19"/>
              </w:rPr>
              <w:t>); cargos com n ≥ 50</w:t>
            </w:r>
          </w:p>
        </w:tc>
      </w:tr>
      <w:tr w:rsidR="00231363" w:rsidRPr="00956A22" w14:paraId="6E0858CD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0E42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p3_diversidade_genero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E25A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gold_diversidade_genero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; grupos com n ≥ 30</w:t>
            </w:r>
          </w:p>
        </w:tc>
      </w:tr>
      <w:tr w:rsidR="00231363" w:rsidRPr="00956A22" w14:paraId="3FAA4BA9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3B372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lastRenderedPageBreak/>
              <w:t>p4_tecnologias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809B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gold_adocao_tecnologias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; categorias de banco de dados, cloud, BI e ETL</w:t>
            </w:r>
          </w:p>
        </w:tc>
      </w:tr>
      <w:tr w:rsidR="00231363" w:rsidRPr="00956A22" w14:paraId="48233CB5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56E7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p5a_adocao_ia e p5b_ia_nas_empresas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C479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gold_adocao_ia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; percentual sobre quem respondeu à pergunta</w:t>
            </w:r>
          </w:p>
        </w:tc>
      </w:tr>
      <w:tr w:rsidR="00231363" w:rsidRPr="00956A22" w14:paraId="49B20C2E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CB5DD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p6_regiao_modelo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9850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gold_trabalho_regiao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; sem “Não informado”</w:t>
            </w:r>
          </w:p>
        </w:tc>
      </w:tr>
      <w:tr w:rsidR="00231363" w:rsidRPr="00956A22" w14:paraId="0E47A060" w14:textId="77777777" w:rsidTr="00D861EB">
        <w:trPr>
          <w:cantSplit/>
        </w:trPr>
        <w:tc>
          <w:tcPr>
            <w:tcW w:w="3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A0CFD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p7_oportunidades_desafios</w:t>
            </w:r>
          </w:p>
        </w:tc>
        <w:tc>
          <w:tcPr>
            <w:tcW w:w="66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11C4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gold_fato_mercado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 xml:space="preserve"> e </w:t>
            </w:r>
            <w:proofErr w:type="spellStart"/>
            <w:r w:rsidRPr="00956A22">
              <w:rPr>
                <w:rFonts w:ascii="Arial" w:hAnsi="Arial" w:cs="Arial"/>
                <w:sz w:val="19"/>
                <w:szCs w:val="19"/>
              </w:rPr>
              <w:t>gold_adocao_tecnologias</w:t>
            </w:r>
            <w:proofErr w:type="spellEnd"/>
            <w:r w:rsidRPr="00956A22">
              <w:rPr>
                <w:rFonts w:ascii="Arial" w:hAnsi="Arial" w:cs="Arial"/>
                <w:sz w:val="19"/>
                <w:szCs w:val="19"/>
              </w:rPr>
              <w:t>; finanças contra demais setores</w:t>
            </w:r>
          </w:p>
        </w:tc>
      </w:tr>
    </w:tbl>
    <w:p w14:paraId="6CE033A7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702A7105" w14:textId="36540204" w:rsidR="00231363" w:rsidRPr="00A26949" w:rsidRDefault="00956A22" w:rsidP="00231363">
      <w:pPr>
        <w:pStyle w:val="Ttulo2"/>
        <w:rPr>
          <w:rFonts w:ascii="Arial" w:hAnsi="Arial" w:cs="Arial"/>
          <w:b/>
          <w:bCs/>
          <w:color w:val="auto"/>
        </w:rPr>
      </w:pPr>
      <w:bookmarkStart w:id="18" w:name="_Toc243936784"/>
      <w:r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5</w:t>
      </w:r>
      <w:r w:rsidR="00231363" w:rsidRPr="00A26949">
        <w:rPr>
          <w:rFonts w:ascii="Arial" w:eastAsia="Calibri" w:hAnsi="Arial" w:cs="Arial"/>
          <w:b/>
          <w:bCs/>
          <w:color w:val="auto"/>
          <w:sz w:val="26"/>
          <w:szCs w:val="26"/>
        </w:rPr>
        <w:t>.3 Decisões metodológicas</w:t>
      </w:r>
      <w:bookmarkEnd w:id="18"/>
    </w:p>
    <w:p w14:paraId="273EC7A0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“Não informado” fora dos percentuais: esses respondentes têm satisfação 0,0 porque a pergunta não foi feita. Incluí-los puxava a satisfação de 2025 de 67,4% para 61,2%.</w:t>
      </w:r>
    </w:p>
    <w:p w14:paraId="2E7D13E0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Amostra mínima: grupos com menos de 30 pessoas ficam fora dos comparativos; no gráfico de cargos o corte é 50. Em Engenharia de ML/IA e </w:t>
      </w:r>
      <w:proofErr w:type="spellStart"/>
      <w:r w:rsidRPr="00956A22">
        <w:rPr>
          <w:rFonts w:ascii="Arial" w:hAnsi="Arial" w:cs="Arial"/>
        </w:rPr>
        <w:t>Product</w:t>
      </w:r>
      <w:proofErr w:type="spellEnd"/>
      <w:r w:rsidRPr="00956A22">
        <w:rPr>
          <w:rFonts w:ascii="Arial" w:hAnsi="Arial" w:cs="Arial"/>
        </w:rPr>
        <w:t xml:space="preserve"> Manager o </w:t>
      </w:r>
      <w:proofErr w:type="gramStart"/>
      <w:r w:rsidRPr="00956A22">
        <w:rPr>
          <w:rFonts w:ascii="Arial" w:hAnsi="Arial" w:cs="Arial"/>
        </w:rPr>
        <w:t>n</w:t>
      </w:r>
      <w:proofErr w:type="gramEnd"/>
      <w:r w:rsidRPr="00956A22">
        <w:rPr>
          <w:rFonts w:ascii="Arial" w:hAnsi="Arial" w:cs="Arial"/>
        </w:rPr>
        <w:t xml:space="preserve"> é pequeno e o texto sinaliza isso.</w:t>
      </w:r>
    </w:p>
    <w:p w14:paraId="0F704E8C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Divisão em Athena: a divisão entre inteiros trunca o resultado; as consultas usam 100.0 * para manter casas decimais.</w:t>
      </w:r>
    </w:p>
    <w:p w14:paraId="6281FFFD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Diferença de base: a satisfação do setor financeiro na Figura 9 exclui o nível “Não informado”, e a tabela de ocupados da análise de negócio usa outra base; por isso os valores diferem em até 0,7 ponto.</w:t>
      </w:r>
    </w:p>
    <w:p w14:paraId="3046706B" w14:textId="15FE7024" w:rsidR="00231363" w:rsidRPr="00A26949" w:rsidRDefault="00956A22" w:rsidP="00231363">
      <w:pPr>
        <w:pStyle w:val="Ttulo1"/>
        <w:rPr>
          <w:rFonts w:ascii="Arial" w:hAnsi="Arial" w:cs="Arial"/>
          <w:b/>
          <w:bCs/>
          <w:color w:val="auto"/>
        </w:rPr>
      </w:pPr>
      <w:bookmarkStart w:id="19" w:name="_Toc243936785"/>
      <w:r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6</w:t>
      </w:r>
      <w:r w:rsidR="00231363"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. Limitações e verificação</w:t>
      </w:r>
      <w:bookmarkEnd w:id="19"/>
    </w:p>
    <w:p w14:paraId="195374BE" w14:textId="77777777" w:rsidR="00231363" w:rsidRPr="00956A22" w:rsidRDefault="00231363" w:rsidP="00231363">
      <w:pPr>
        <w:spacing w:after="140" w:line="288" w:lineRule="auto"/>
        <w:rPr>
          <w:rFonts w:ascii="Arial" w:hAnsi="Arial" w:cs="Arial"/>
        </w:rPr>
      </w:pPr>
      <w:r w:rsidRPr="00956A22">
        <w:rPr>
          <w:rFonts w:ascii="Arial" w:hAnsi="Arial" w:cs="Arial"/>
        </w:rPr>
        <w:t>Os números são confiáveis para comparar grupos e anos dentro da pesquisa, com as ressalvas abaixo.</w:t>
      </w:r>
    </w:p>
    <w:p w14:paraId="31B25585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Salário estimado: ponto médio da faixa; a faixa “acima de R$ 40.001” não tem teto e subestima as médias do topo.</w:t>
      </w:r>
    </w:p>
    <w:p w14:paraId="2187A782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Valores nominais: não há correção pela inflação do período.</w:t>
      </w:r>
    </w:p>
    <w:p w14:paraId="6C31F80C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Amostra voluntária: não representa estatisticamente todo o mercado, e a edição 2025 é menor (3.494 respondentes).</w:t>
      </w:r>
    </w:p>
    <w:p w14:paraId="5405CBAF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Nível novo em 2025: Especialista/Staff+ afeta a comparação do Sênior entre anos.</w:t>
      </w:r>
    </w:p>
    <w:p w14:paraId="7D63E4FE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Pergunta de linguagens mudou em 2025: de “usada no dia a dia” para “preferida”.</w:t>
      </w:r>
    </w:p>
    <w:p w14:paraId="7C54DE1A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Amostras pequenas: Engenharia de ML/IA (106), </w:t>
      </w:r>
      <w:proofErr w:type="spellStart"/>
      <w:r w:rsidRPr="00956A22">
        <w:rPr>
          <w:rFonts w:ascii="Arial" w:hAnsi="Arial" w:cs="Arial"/>
        </w:rPr>
        <w:t>Product</w:t>
      </w:r>
      <w:proofErr w:type="spellEnd"/>
      <w:r w:rsidRPr="00956A22">
        <w:rPr>
          <w:rFonts w:ascii="Arial" w:hAnsi="Arial" w:cs="Arial"/>
        </w:rPr>
        <w:t xml:space="preserve"> Manager (33) e Gestor no Nordeste (63).</w:t>
      </w:r>
    </w:p>
    <w:p w14:paraId="5ED99922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>IA e salário: correlação; o grupo sem IA tem 36 pessoas.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038"/>
        <w:gridCol w:w="2000"/>
      </w:tblGrid>
      <w:tr w:rsidR="00231363" w:rsidRPr="00956A22" w14:paraId="1B42D9D9" w14:textId="77777777" w:rsidTr="00D861EB">
        <w:trPr>
          <w:cantSplit/>
          <w:tblHeader/>
        </w:trPr>
        <w:tc>
          <w:tcPr>
            <w:tcW w:w="3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499C5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Afirmação</w:t>
            </w:r>
          </w:p>
        </w:tc>
        <w:tc>
          <w:tcPr>
            <w:tcW w:w="40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C146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Como foi verificada</w:t>
            </w:r>
          </w:p>
        </w:tc>
        <w:tc>
          <w:tcPr>
            <w:tcW w:w="2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shd w:val="clear" w:color="auto" w:fill="1F5FA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7743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Status</w:t>
            </w:r>
          </w:p>
        </w:tc>
      </w:tr>
      <w:tr w:rsidR="00231363" w:rsidRPr="00956A22" w14:paraId="35CCA819" w14:textId="77777777" w:rsidTr="00D861EB">
        <w:trPr>
          <w:cantSplit/>
        </w:trPr>
        <w:tc>
          <w:tcPr>
            <w:tcW w:w="3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C083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Contagens e totais das camadas Bronze, Silver e Gold</w:t>
            </w:r>
          </w:p>
        </w:tc>
        <w:tc>
          <w:tcPr>
            <w:tcW w:w="40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3EA2A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24 checagens no Athena, todas iguais ao esperado</w:t>
            </w:r>
          </w:p>
        </w:tc>
        <w:tc>
          <w:tcPr>
            <w:tcW w:w="2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B327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Confirmado</w:t>
            </w:r>
          </w:p>
        </w:tc>
      </w:tr>
      <w:tr w:rsidR="00231363" w:rsidRPr="00956A22" w14:paraId="7BE3DD55" w14:textId="77777777" w:rsidTr="00D861EB">
        <w:trPr>
          <w:cantSplit/>
        </w:trPr>
        <w:tc>
          <w:tcPr>
            <w:tcW w:w="3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9940A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Números das sete respostas</w:t>
            </w:r>
          </w:p>
        </w:tc>
        <w:tc>
          <w:tcPr>
            <w:tcW w:w="40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0E5A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32 consultas SQL sobre as tabelas Gold, rodadas localmente</w:t>
            </w:r>
          </w:p>
        </w:tc>
        <w:tc>
          <w:tcPr>
            <w:tcW w:w="2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6FCFA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Confirmado localmente</w:t>
            </w:r>
          </w:p>
        </w:tc>
      </w:tr>
      <w:tr w:rsidR="00231363" w:rsidRPr="00956A22" w14:paraId="5EB44FC0" w14:textId="77777777" w:rsidTr="00D861EB">
        <w:trPr>
          <w:cantSplit/>
        </w:trPr>
        <w:tc>
          <w:tcPr>
            <w:tcW w:w="3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EEFE6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Números dos gráficos</w:t>
            </w:r>
          </w:p>
        </w:tc>
        <w:tc>
          <w:tcPr>
            <w:tcW w:w="40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64BA8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Consultas P1 a P7 e ajustes rodados no Athena e conferidos contra o documento das respostas</w:t>
            </w:r>
          </w:p>
        </w:tc>
        <w:tc>
          <w:tcPr>
            <w:tcW w:w="2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144AC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Confirmado</w:t>
            </w:r>
          </w:p>
        </w:tc>
      </w:tr>
      <w:tr w:rsidR="00231363" w:rsidRPr="00956A22" w14:paraId="670739F3" w14:textId="77777777" w:rsidTr="00D861EB">
        <w:trPr>
          <w:cantSplit/>
        </w:trPr>
        <w:tc>
          <w:tcPr>
            <w:tcW w:w="3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46DB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Interpretações e proposta</w:t>
            </w:r>
          </w:p>
        </w:tc>
        <w:tc>
          <w:tcPr>
            <w:tcW w:w="40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1CDB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Inferência a partir das tabelas</w:t>
            </w:r>
          </w:p>
        </w:tc>
        <w:tc>
          <w:tcPr>
            <w:tcW w:w="2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D9CDB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Interpretação</w:t>
            </w:r>
          </w:p>
        </w:tc>
      </w:tr>
      <w:tr w:rsidR="00231363" w:rsidRPr="00956A22" w14:paraId="345212F5" w14:textId="77777777" w:rsidTr="00D861EB">
        <w:trPr>
          <w:cantSplit/>
        </w:trPr>
        <w:tc>
          <w:tcPr>
            <w:tcW w:w="36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7088E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Inflação do período</w:t>
            </w:r>
          </w:p>
        </w:tc>
        <w:tc>
          <w:tcPr>
            <w:tcW w:w="4038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FEAEF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Não consultada</w:t>
            </w:r>
          </w:p>
        </w:tc>
        <w:tc>
          <w:tcPr>
            <w:tcW w:w="2000" w:type="dxa"/>
            <w:tcBorders>
              <w:top w:val="single" w:sz="4" w:space="0" w:color="DBE1EA"/>
              <w:left w:val="single" w:sz="4" w:space="0" w:color="DBE1EA"/>
              <w:bottom w:val="single" w:sz="4" w:space="0" w:color="DBE1EA"/>
              <w:right w:val="single" w:sz="4" w:space="0" w:color="DB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480E7" w14:textId="77777777" w:rsidR="00231363" w:rsidRPr="00956A22" w:rsidRDefault="00231363" w:rsidP="00D861EB">
            <w:pPr>
              <w:rPr>
                <w:rFonts w:ascii="Arial" w:hAnsi="Arial" w:cs="Arial"/>
              </w:rPr>
            </w:pPr>
            <w:r w:rsidRPr="00956A22">
              <w:rPr>
                <w:rFonts w:ascii="Arial" w:hAnsi="Arial" w:cs="Arial"/>
                <w:sz w:val="19"/>
                <w:szCs w:val="19"/>
              </w:rPr>
              <w:t>Em aberto</w:t>
            </w:r>
          </w:p>
        </w:tc>
      </w:tr>
    </w:tbl>
    <w:p w14:paraId="4BAE1034" w14:textId="77777777" w:rsidR="00231363" w:rsidRPr="00956A22" w:rsidRDefault="00231363" w:rsidP="00231363">
      <w:pPr>
        <w:spacing w:after="120"/>
        <w:rPr>
          <w:rFonts w:ascii="Arial" w:hAnsi="Arial" w:cs="Arial"/>
        </w:rPr>
      </w:pPr>
    </w:p>
    <w:p w14:paraId="6FB07481" w14:textId="50024701" w:rsidR="00231363" w:rsidRPr="00A26949" w:rsidRDefault="00956A22" w:rsidP="00231363">
      <w:pPr>
        <w:pStyle w:val="Ttulo1"/>
        <w:rPr>
          <w:rFonts w:ascii="Arial" w:hAnsi="Arial" w:cs="Arial"/>
          <w:b/>
          <w:bCs/>
          <w:color w:val="auto"/>
        </w:rPr>
      </w:pPr>
      <w:bookmarkStart w:id="20" w:name="_Toc243936786"/>
      <w:r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7</w:t>
      </w:r>
      <w:r w:rsidR="00231363" w:rsidRPr="00A26949">
        <w:rPr>
          <w:rFonts w:ascii="Arial" w:eastAsia="Calibri" w:hAnsi="Arial" w:cs="Arial"/>
          <w:b/>
          <w:bCs/>
          <w:color w:val="auto"/>
          <w:sz w:val="32"/>
          <w:szCs w:val="32"/>
        </w:rPr>
        <w:t>. Fontes</w:t>
      </w:r>
      <w:bookmarkEnd w:id="20"/>
    </w:p>
    <w:p w14:paraId="5F725BFE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State </w:t>
      </w:r>
      <w:proofErr w:type="spellStart"/>
      <w:r w:rsidRPr="00956A22">
        <w:rPr>
          <w:rFonts w:ascii="Arial" w:hAnsi="Arial" w:cs="Arial"/>
        </w:rPr>
        <w:t>of</w:t>
      </w:r>
      <w:proofErr w:type="spellEnd"/>
      <w:r w:rsidRPr="00956A22">
        <w:rPr>
          <w:rFonts w:ascii="Arial" w:hAnsi="Arial" w:cs="Arial"/>
        </w:rPr>
        <w:t xml:space="preserve"> Data </w:t>
      </w:r>
      <w:proofErr w:type="spellStart"/>
      <w:r w:rsidRPr="00956A22">
        <w:rPr>
          <w:rFonts w:ascii="Arial" w:hAnsi="Arial" w:cs="Arial"/>
        </w:rPr>
        <w:t>Brazil</w:t>
      </w:r>
      <w:proofErr w:type="spellEnd"/>
      <w:r w:rsidRPr="00956A22">
        <w:rPr>
          <w:rFonts w:ascii="Arial" w:hAnsi="Arial" w:cs="Arial"/>
        </w:rPr>
        <w:t xml:space="preserve"> 2024/2025, </w:t>
      </w:r>
      <w:proofErr w:type="spellStart"/>
      <w:r w:rsidRPr="00956A22">
        <w:rPr>
          <w:rFonts w:ascii="Arial" w:hAnsi="Arial" w:cs="Arial"/>
        </w:rPr>
        <w:t>dataset</w:t>
      </w:r>
      <w:proofErr w:type="spellEnd"/>
      <w:r w:rsidRPr="00956A22">
        <w:rPr>
          <w:rFonts w:ascii="Arial" w:hAnsi="Arial" w:cs="Arial"/>
        </w:rPr>
        <w:t xml:space="preserve"> no </w:t>
      </w:r>
      <w:proofErr w:type="spellStart"/>
      <w:r w:rsidRPr="00956A22">
        <w:rPr>
          <w:rFonts w:ascii="Arial" w:hAnsi="Arial" w:cs="Arial"/>
        </w:rPr>
        <w:t>Kaggle</w:t>
      </w:r>
      <w:proofErr w:type="spellEnd"/>
      <w:r w:rsidRPr="00956A22">
        <w:rPr>
          <w:rFonts w:ascii="Arial" w:hAnsi="Arial" w:cs="Arial"/>
        </w:rPr>
        <w:t xml:space="preserve"> (Data Hackers): https://www.kaggle.com/datasets/datahackers/state-of-data-brazil-20242025/data</w:t>
      </w:r>
    </w:p>
    <w:p w14:paraId="4140051A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State </w:t>
      </w:r>
      <w:proofErr w:type="spellStart"/>
      <w:r w:rsidRPr="00956A22">
        <w:rPr>
          <w:rFonts w:ascii="Arial" w:hAnsi="Arial" w:cs="Arial"/>
        </w:rPr>
        <w:t>of</w:t>
      </w:r>
      <w:proofErr w:type="spellEnd"/>
      <w:r w:rsidRPr="00956A22">
        <w:rPr>
          <w:rFonts w:ascii="Arial" w:hAnsi="Arial" w:cs="Arial"/>
        </w:rPr>
        <w:t xml:space="preserve"> Data 2025-2026, relatório, Bain &amp; </w:t>
      </w:r>
      <w:proofErr w:type="spellStart"/>
      <w:r w:rsidRPr="00956A22">
        <w:rPr>
          <w:rFonts w:ascii="Arial" w:hAnsi="Arial" w:cs="Arial"/>
        </w:rPr>
        <w:t>Company</w:t>
      </w:r>
      <w:proofErr w:type="spellEnd"/>
      <w:r w:rsidRPr="00956A22">
        <w:rPr>
          <w:rFonts w:ascii="Arial" w:hAnsi="Arial" w:cs="Arial"/>
        </w:rPr>
        <w:t xml:space="preserve"> e Data Hackers, 2025: https://www.bain.com/link/9b0a3b17f0514d3d94866e11b65e9563.aspx</w:t>
      </w:r>
    </w:p>
    <w:p w14:paraId="50108A84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Download do relatório State </w:t>
      </w:r>
      <w:proofErr w:type="spellStart"/>
      <w:r w:rsidRPr="00956A22">
        <w:rPr>
          <w:rFonts w:ascii="Arial" w:hAnsi="Arial" w:cs="Arial"/>
        </w:rPr>
        <w:t>of</w:t>
      </w:r>
      <w:proofErr w:type="spellEnd"/>
      <w:r w:rsidRPr="00956A22">
        <w:rPr>
          <w:rFonts w:ascii="Arial" w:hAnsi="Arial" w:cs="Arial"/>
        </w:rPr>
        <w:t xml:space="preserve"> Data </w:t>
      </w:r>
      <w:proofErr w:type="spellStart"/>
      <w:r w:rsidRPr="00956A22">
        <w:rPr>
          <w:rFonts w:ascii="Arial" w:hAnsi="Arial" w:cs="Arial"/>
        </w:rPr>
        <w:t>Brazil</w:t>
      </w:r>
      <w:proofErr w:type="spellEnd"/>
      <w:r w:rsidRPr="00956A22">
        <w:rPr>
          <w:rFonts w:ascii="Arial" w:hAnsi="Arial" w:cs="Arial"/>
        </w:rPr>
        <w:t xml:space="preserve"> 2025/2026, Data Hackers; coleta de 14/10 a 18/12/2025: https://www.datahackers.news/p/download-do-relatorio-state-of-data-brazil-2025-2026</w:t>
      </w:r>
    </w:p>
    <w:p w14:paraId="259EBC27" w14:textId="77777777" w:rsidR="00231363" w:rsidRPr="00956A22" w:rsidRDefault="00231363" w:rsidP="00231363">
      <w:pPr>
        <w:pStyle w:val="PargrafodaLista"/>
        <w:numPr>
          <w:ilvl w:val="0"/>
          <w:numId w:val="1"/>
        </w:numPr>
        <w:spacing w:after="80" w:line="276" w:lineRule="auto"/>
        <w:contextualSpacing w:val="0"/>
        <w:rPr>
          <w:rFonts w:ascii="Arial" w:hAnsi="Arial" w:cs="Arial"/>
        </w:rPr>
      </w:pPr>
      <w:r w:rsidRPr="00956A22">
        <w:rPr>
          <w:rFonts w:ascii="Arial" w:hAnsi="Arial" w:cs="Arial"/>
        </w:rPr>
        <w:t xml:space="preserve">Consultas e notebook do projeto: consultas_athena_P1_a_P7.sql, </w:t>
      </w:r>
      <w:proofErr w:type="spellStart"/>
      <w:r w:rsidRPr="00956A22">
        <w:rPr>
          <w:rFonts w:ascii="Arial" w:hAnsi="Arial" w:cs="Arial"/>
        </w:rPr>
        <w:t>consultas_athena_ajustes.sql</w:t>
      </w:r>
      <w:proofErr w:type="spellEnd"/>
      <w:r w:rsidRPr="00956A22">
        <w:rPr>
          <w:rFonts w:ascii="Arial" w:hAnsi="Arial" w:cs="Arial"/>
        </w:rPr>
        <w:t xml:space="preserve">, </w:t>
      </w:r>
      <w:proofErr w:type="spellStart"/>
      <w:r w:rsidRPr="00956A22">
        <w:rPr>
          <w:rFonts w:ascii="Arial" w:hAnsi="Arial" w:cs="Arial"/>
        </w:rPr>
        <w:t>athena_perguntas_negocio.sql</w:t>
      </w:r>
      <w:proofErr w:type="spellEnd"/>
      <w:r w:rsidRPr="00956A22">
        <w:rPr>
          <w:rFonts w:ascii="Arial" w:hAnsi="Arial" w:cs="Arial"/>
        </w:rPr>
        <w:t xml:space="preserve"> e </w:t>
      </w:r>
      <w:proofErr w:type="spellStart"/>
      <w:proofErr w:type="gramStart"/>
      <w:r w:rsidRPr="00956A22">
        <w:rPr>
          <w:rFonts w:ascii="Arial" w:hAnsi="Arial" w:cs="Arial"/>
        </w:rPr>
        <w:t>analise</w:t>
      </w:r>
      <w:proofErr w:type="gramEnd"/>
      <w:r w:rsidRPr="00956A22">
        <w:rPr>
          <w:rFonts w:ascii="Arial" w:hAnsi="Arial" w:cs="Arial"/>
        </w:rPr>
        <w:t>_state_of_</w:t>
      </w:r>
      <w:proofErr w:type="gramStart"/>
      <w:r w:rsidRPr="00956A22">
        <w:rPr>
          <w:rFonts w:ascii="Arial" w:hAnsi="Arial" w:cs="Arial"/>
        </w:rPr>
        <w:t>data.ipynb</w:t>
      </w:r>
      <w:proofErr w:type="spellEnd"/>
      <w:proofErr w:type="gramEnd"/>
      <w:r w:rsidRPr="00956A22">
        <w:rPr>
          <w:rFonts w:ascii="Arial" w:hAnsi="Arial" w:cs="Arial"/>
        </w:rPr>
        <w:t>.</w:t>
      </w:r>
    </w:p>
    <w:p w14:paraId="66380700" w14:textId="77777777" w:rsidR="006D23FE" w:rsidRPr="00956A22" w:rsidRDefault="006D23FE" w:rsidP="00231363"/>
    <w:sectPr w:rsidR="006D23FE" w:rsidRPr="00956A22" w:rsidSect="00D93B2C">
      <w:footerReference w:type="defaul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B612" w14:textId="77777777" w:rsidR="0045579A" w:rsidRDefault="0045579A" w:rsidP="00231363">
      <w:r>
        <w:separator/>
      </w:r>
    </w:p>
  </w:endnote>
  <w:endnote w:type="continuationSeparator" w:id="0">
    <w:p w14:paraId="0660EF56" w14:textId="77777777" w:rsidR="0045579A" w:rsidRDefault="0045579A" w:rsidP="0023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867711"/>
      <w:docPartObj>
        <w:docPartGallery w:val="Page Numbers (Bottom of Page)"/>
        <w:docPartUnique/>
      </w:docPartObj>
    </w:sdtPr>
    <w:sdtContent>
      <w:p w14:paraId="567D88F0" w14:textId="0E73027C" w:rsidR="0022513B" w:rsidRDefault="0022513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23F4AC" w14:textId="77777777" w:rsidR="0022513B" w:rsidRDefault="002251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A2E08" w14:textId="748475AB" w:rsidR="00231363" w:rsidRPr="00231363" w:rsidRDefault="00231363" w:rsidP="0023136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CF72" w14:textId="7B59E6DD" w:rsidR="00D93B2C" w:rsidRPr="00231363" w:rsidRDefault="00D93B2C" w:rsidP="002313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C83C" w14:textId="77777777" w:rsidR="0045579A" w:rsidRDefault="0045579A" w:rsidP="00231363">
      <w:r>
        <w:separator/>
      </w:r>
    </w:p>
  </w:footnote>
  <w:footnote w:type="continuationSeparator" w:id="0">
    <w:p w14:paraId="4D363CB7" w14:textId="77777777" w:rsidR="0045579A" w:rsidRDefault="0045579A" w:rsidP="00231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1311"/>
    <w:multiLevelType w:val="hybridMultilevel"/>
    <w:tmpl w:val="71F40A4C"/>
    <w:lvl w:ilvl="0" w:tplc="5F9A013A">
      <w:start w:val="1"/>
      <w:numFmt w:val="bullet"/>
      <w:lvlText w:val="•"/>
      <w:lvlJc w:val="left"/>
      <w:pPr>
        <w:ind w:left="540" w:hanging="270"/>
      </w:pPr>
    </w:lvl>
    <w:lvl w:ilvl="1" w:tplc="5E5ED9E0">
      <w:numFmt w:val="decimal"/>
      <w:lvlText w:val=""/>
      <w:lvlJc w:val="left"/>
    </w:lvl>
    <w:lvl w:ilvl="2" w:tplc="E116B31E">
      <w:numFmt w:val="decimal"/>
      <w:lvlText w:val=""/>
      <w:lvlJc w:val="left"/>
    </w:lvl>
    <w:lvl w:ilvl="3" w:tplc="1BDC45EC">
      <w:numFmt w:val="decimal"/>
      <w:lvlText w:val=""/>
      <w:lvlJc w:val="left"/>
    </w:lvl>
    <w:lvl w:ilvl="4" w:tplc="DF2AF0C8">
      <w:numFmt w:val="decimal"/>
      <w:lvlText w:val=""/>
      <w:lvlJc w:val="left"/>
    </w:lvl>
    <w:lvl w:ilvl="5" w:tplc="C99A999A">
      <w:numFmt w:val="decimal"/>
      <w:lvlText w:val=""/>
      <w:lvlJc w:val="left"/>
    </w:lvl>
    <w:lvl w:ilvl="6" w:tplc="3CF2857A">
      <w:numFmt w:val="decimal"/>
      <w:lvlText w:val=""/>
      <w:lvlJc w:val="left"/>
    </w:lvl>
    <w:lvl w:ilvl="7" w:tplc="FB56C43C">
      <w:numFmt w:val="decimal"/>
      <w:lvlText w:val=""/>
      <w:lvlJc w:val="left"/>
    </w:lvl>
    <w:lvl w:ilvl="8" w:tplc="AB7E9772">
      <w:numFmt w:val="decimal"/>
      <w:lvlText w:val=""/>
      <w:lvlJc w:val="left"/>
    </w:lvl>
  </w:abstractNum>
  <w:abstractNum w:abstractNumId="1" w15:restartNumberingAfterBreak="0">
    <w:nsid w:val="0D77367E"/>
    <w:multiLevelType w:val="hybridMultilevel"/>
    <w:tmpl w:val="85C0A632"/>
    <w:lvl w:ilvl="0" w:tplc="51B646AC">
      <w:start w:val="1"/>
      <w:numFmt w:val="decimal"/>
      <w:lvlText w:val="%1."/>
      <w:lvlJc w:val="left"/>
      <w:pPr>
        <w:ind w:left="540" w:hanging="360"/>
      </w:pPr>
    </w:lvl>
    <w:lvl w:ilvl="1" w:tplc="ACE0AE28">
      <w:numFmt w:val="decimal"/>
      <w:lvlText w:val=""/>
      <w:lvlJc w:val="left"/>
    </w:lvl>
    <w:lvl w:ilvl="2" w:tplc="AF1E9344">
      <w:numFmt w:val="decimal"/>
      <w:lvlText w:val=""/>
      <w:lvlJc w:val="left"/>
    </w:lvl>
    <w:lvl w:ilvl="3" w:tplc="34F651DE">
      <w:numFmt w:val="decimal"/>
      <w:lvlText w:val=""/>
      <w:lvlJc w:val="left"/>
    </w:lvl>
    <w:lvl w:ilvl="4" w:tplc="2422935E">
      <w:numFmt w:val="decimal"/>
      <w:lvlText w:val=""/>
      <w:lvlJc w:val="left"/>
    </w:lvl>
    <w:lvl w:ilvl="5" w:tplc="16923F18">
      <w:numFmt w:val="decimal"/>
      <w:lvlText w:val=""/>
      <w:lvlJc w:val="left"/>
    </w:lvl>
    <w:lvl w:ilvl="6" w:tplc="F24C18BC">
      <w:numFmt w:val="decimal"/>
      <w:lvlText w:val=""/>
      <w:lvlJc w:val="left"/>
    </w:lvl>
    <w:lvl w:ilvl="7" w:tplc="23B2A6B2">
      <w:numFmt w:val="decimal"/>
      <w:lvlText w:val=""/>
      <w:lvlJc w:val="left"/>
    </w:lvl>
    <w:lvl w:ilvl="8" w:tplc="9B34B558">
      <w:numFmt w:val="decimal"/>
      <w:lvlText w:val=""/>
      <w:lvlJc w:val="left"/>
    </w:lvl>
  </w:abstractNum>
  <w:abstractNum w:abstractNumId="2" w15:restartNumberingAfterBreak="0">
    <w:nsid w:val="6F915E8B"/>
    <w:multiLevelType w:val="hybridMultilevel"/>
    <w:tmpl w:val="723A75A6"/>
    <w:lvl w:ilvl="0" w:tplc="C5CE1AB0">
      <w:start w:val="1"/>
      <w:numFmt w:val="decimal"/>
      <w:lvlText w:val="%1."/>
      <w:lvlJc w:val="left"/>
      <w:pPr>
        <w:ind w:left="540" w:hanging="360"/>
      </w:pPr>
    </w:lvl>
    <w:lvl w:ilvl="1" w:tplc="589CD3EA">
      <w:numFmt w:val="decimal"/>
      <w:lvlText w:val=""/>
      <w:lvlJc w:val="left"/>
    </w:lvl>
    <w:lvl w:ilvl="2" w:tplc="57086932">
      <w:numFmt w:val="decimal"/>
      <w:lvlText w:val=""/>
      <w:lvlJc w:val="left"/>
    </w:lvl>
    <w:lvl w:ilvl="3" w:tplc="FD46163C">
      <w:numFmt w:val="decimal"/>
      <w:lvlText w:val=""/>
      <w:lvlJc w:val="left"/>
    </w:lvl>
    <w:lvl w:ilvl="4" w:tplc="6C66240E">
      <w:numFmt w:val="decimal"/>
      <w:lvlText w:val=""/>
      <w:lvlJc w:val="left"/>
    </w:lvl>
    <w:lvl w:ilvl="5" w:tplc="898E8A76">
      <w:numFmt w:val="decimal"/>
      <w:lvlText w:val=""/>
      <w:lvlJc w:val="left"/>
    </w:lvl>
    <w:lvl w:ilvl="6" w:tplc="4AE008B4">
      <w:numFmt w:val="decimal"/>
      <w:lvlText w:val=""/>
      <w:lvlJc w:val="left"/>
    </w:lvl>
    <w:lvl w:ilvl="7" w:tplc="20A6F986">
      <w:numFmt w:val="decimal"/>
      <w:lvlText w:val=""/>
      <w:lvlJc w:val="left"/>
    </w:lvl>
    <w:lvl w:ilvl="8" w:tplc="0B76F7E0">
      <w:numFmt w:val="decimal"/>
      <w:lvlText w:val=""/>
      <w:lvlJc w:val="left"/>
    </w:lvl>
  </w:abstractNum>
  <w:abstractNum w:abstractNumId="3" w15:restartNumberingAfterBreak="0">
    <w:nsid w:val="7D8240FD"/>
    <w:multiLevelType w:val="hybridMultilevel"/>
    <w:tmpl w:val="D89EAA14"/>
    <w:lvl w:ilvl="0" w:tplc="3BFA4C92">
      <w:start w:val="1"/>
      <w:numFmt w:val="decimal"/>
      <w:lvlText w:val="%1."/>
      <w:lvlJc w:val="left"/>
      <w:pPr>
        <w:ind w:left="540" w:hanging="360"/>
      </w:pPr>
    </w:lvl>
    <w:lvl w:ilvl="1" w:tplc="CC44EE2E">
      <w:numFmt w:val="decimal"/>
      <w:lvlText w:val=""/>
      <w:lvlJc w:val="left"/>
    </w:lvl>
    <w:lvl w:ilvl="2" w:tplc="0F1E537E">
      <w:numFmt w:val="decimal"/>
      <w:lvlText w:val=""/>
      <w:lvlJc w:val="left"/>
    </w:lvl>
    <w:lvl w:ilvl="3" w:tplc="62D0307A">
      <w:numFmt w:val="decimal"/>
      <w:lvlText w:val=""/>
      <w:lvlJc w:val="left"/>
    </w:lvl>
    <w:lvl w:ilvl="4" w:tplc="38F0A870">
      <w:numFmt w:val="decimal"/>
      <w:lvlText w:val=""/>
      <w:lvlJc w:val="left"/>
    </w:lvl>
    <w:lvl w:ilvl="5" w:tplc="5F4C85B8">
      <w:numFmt w:val="decimal"/>
      <w:lvlText w:val=""/>
      <w:lvlJc w:val="left"/>
    </w:lvl>
    <w:lvl w:ilvl="6" w:tplc="6C628D82">
      <w:numFmt w:val="decimal"/>
      <w:lvlText w:val=""/>
      <w:lvlJc w:val="left"/>
    </w:lvl>
    <w:lvl w:ilvl="7" w:tplc="2C505EA8">
      <w:numFmt w:val="decimal"/>
      <w:lvlText w:val=""/>
      <w:lvlJc w:val="left"/>
    </w:lvl>
    <w:lvl w:ilvl="8" w:tplc="CF2C4ADC">
      <w:numFmt w:val="decimal"/>
      <w:lvlText w:val=""/>
      <w:lvlJc w:val="left"/>
    </w:lvl>
  </w:abstractNum>
  <w:num w:numId="1" w16cid:durableId="215705785">
    <w:abstractNumId w:val="0"/>
    <w:lvlOverride w:ilvl="0">
      <w:startOverride w:val="1"/>
    </w:lvlOverride>
  </w:num>
  <w:num w:numId="2" w16cid:durableId="1165584944">
    <w:abstractNumId w:val="1"/>
    <w:lvlOverride w:ilvl="0">
      <w:startOverride w:val="1"/>
    </w:lvlOverride>
  </w:num>
  <w:num w:numId="3" w16cid:durableId="73356702">
    <w:abstractNumId w:val="3"/>
    <w:lvlOverride w:ilvl="0">
      <w:startOverride w:val="1"/>
    </w:lvlOverride>
  </w:num>
  <w:num w:numId="4" w16cid:durableId="11216124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2C"/>
    <w:rsid w:val="00181929"/>
    <w:rsid w:val="0022513B"/>
    <w:rsid w:val="00231363"/>
    <w:rsid w:val="0045579A"/>
    <w:rsid w:val="00480E80"/>
    <w:rsid w:val="00610434"/>
    <w:rsid w:val="006D23FE"/>
    <w:rsid w:val="00801961"/>
    <w:rsid w:val="00847B27"/>
    <w:rsid w:val="00956A22"/>
    <w:rsid w:val="00A26949"/>
    <w:rsid w:val="00D11645"/>
    <w:rsid w:val="00D93B2C"/>
    <w:rsid w:val="00DB57FC"/>
    <w:rsid w:val="00DD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D420F"/>
  <w15:chartTrackingRefBased/>
  <w15:docId w15:val="{204E84B4-89C5-4858-9EB8-A4FDA924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B2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9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3B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3B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3B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3B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3B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3B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3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3B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3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3B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3B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3B2C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93B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3B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3B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3B2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313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1363"/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313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1363"/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22513B"/>
    <w:pPr>
      <w:spacing w:before="240" w:after="0" w:line="259" w:lineRule="auto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2513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2513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251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9AD47-8B46-4947-93B1-ECBDF8E54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3311</Words>
  <Characters>17885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Lidiany Christiany da Silva</dc:creator>
  <cp:keywords/>
  <dc:description/>
  <cp:lastModifiedBy>Laura Garcias</cp:lastModifiedBy>
  <cp:revision>5</cp:revision>
  <dcterms:created xsi:type="dcterms:W3CDTF">2026-10-22T20:49:00Z</dcterms:created>
  <dcterms:modified xsi:type="dcterms:W3CDTF">2026-10-26T22:52:00Z</dcterms:modified>
</cp:coreProperties>
</file>